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8802" w:type="dxa"/>
        <w:tblInd w:w="-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"/>
        <w:gridCol w:w="2852"/>
        <w:gridCol w:w="5866"/>
        <w:gridCol w:w="56"/>
      </w:tblGrid>
      <w:tr w:rsidR="00503834" w:rsidTr="00944057">
        <w:trPr>
          <w:gridBefore w:val="1"/>
          <w:gridAfter w:val="1"/>
          <w:wBefore w:w="28" w:type="dxa"/>
          <w:wAfter w:w="56" w:type="dxa"/>
        </w:trPr>
        <w:tc>
          <w:tcPr>
            <w:tcW w:w="8718" w:type="dxa"/>
            <w:gridSpan w:val="2"/>
          </w:tcPr>
          <w:p w:rsidR="00503834" w:rsidRPr="00F5659F" w:rsidRDefault="00503834" w:rsidP="00944057">
            <w:pPr>
              <w:spacing w:line="360" w:lineRule="auto"/>
              <w:jc w:val="both"/>
              <w:rPr>
                <w:rtl/>
              </w:rPr>
            </w:pPr>
          </w:p>
        </w:tc>
      </w:tr>
      <w:tr w:rsidR="00503834" w:rsidTr="00944057">
        <w:trPr>
          <w:cantSplit/>
          <w:trHeight w:val="724"/>
        </w:trPr>
        <w:tc>
          <w:tcPr>
            <w:tcW w:w="2880" w:type="dxa"/>
            <w:gridSpan w:val="2"/>
          </w:tcPr>
          <w:p w:rsidR="00503834" w:rsidRDefault="00503834" w:rsidP="00944057">
            <w:pPr>
              <w:ind w:left="26"/>
              <w:jc w:val="left"/>
              <w:rPr>
                <w:b/>
                <w:bCs/>
                <w:sz w:val="26"/>
                <w:szCs w:val="26"/>
                <w:rtl/>
              </w:rPr>
            </w:pPr>
            <w:r w:rsidRPr="000D04AC"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t>ה</w:t>
            </w:r>
            <w:r w:rsidRPr="000D04AC">
              <w:rPr>
                <w:b/>
                <w:bCs/>
                <w:sz w:val="26"/>
                <w:szCs w:val="26"/>
                <w:u w:val="single"/>
                <w:rtl/>
              </w:rPr>
              <w:t>תובע</w:t>
            </w:r>
            <w:r w:rsidRPr="000D04AC"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t>ת:</w:t>
            </w:r>
          </w:p>
        </w:tc>
        <w:tc>
          <w:tcPr>
            <w:tcW w:w="5922" w:type="dxa"/>
            <w:gridSpan w:val="2"/>
          </w:tcPr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הסבתא</w:t>
            </w:r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ע"י ב"כ עו"ד פשה אלון</w:t>
            </w:r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503834" w:rsidTr="00944057">
        <w:tc>
          <w:tcPr>
            <w:tcW w:w="8802" w:type="dxa"/>
            <w:gridSpan w:val="4"/>
            <w:vAlign w:val="center"/>
          </w:tcPr>
          <w:p w:rsidR="00503834" w:rsidRDefault="00503834" w:rsidP="00944057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503834" w:rsidRDefault="00503834" w:rsidP="00944057">
            <w:pPr>
              <w:jc w:val="left"/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503834" w:rsidTr="00944057">
        <w:tc>
          <w:tcPr>
            <w:tcW w:w="2880" w:type="dxa"/>
            <w:gridSpan w:val="2"/>
          </w:tcPr>
          <w:p w:rsidR="00503834" w:rsidRDefault="00503834" w:rsidP="00944057">
            <w:pPr>
              <w:ind w:left="26"/>
              <w:jc w:val="left"/>
              <w:rPr>
                <w:b/>
                <w:bCs/>
                <w:sz w:val="26"/>
                <w:szCs w:val="26"/>
                <w:rtl/>
              </w:rPr>
            </w:pPr>
            <w:r w:rsidRPr="000D04AC"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t>ה</w:t>
            </w:r>
            <w:r w:rsidRPr="000D04AC">
              <w:rPr>
                <w:b/>
                <w:bCs/>
                <w:sz w:val="26"/>
                <w:szCs w:val="26"/>
                <w:u w:val="single"/>
                <w:rtl/>
              </w:rPr>
              <w:t>נתבעים</w:t>
            </w:r>
            <w:r w:rsidRPr="000D04AC">
              <w:rPr>
                <w:rFonts w:hint="cs"/>
                <w:b/>
                <w:bCs/>
                <w:sz w:val="26"/>
                <w:szCs w:val="26"/>
                <w:u w:val="single"/>
                <w:rtl/>
              </w:rPr>
              <w:t>:</w:t>
            </w:r>
          </w:p>
        </w:tc>
        <w:tc>
          <w:tcPr>
            <w:tcW w:w="5922" w:type="dxa"/>
            <w:gridSpan w:val="2"/>
          </w:tcPr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1. הנכד </w:t>
            </w:r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ע"י ב"כ עו"ד 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</w:rPr>
              <w:t>טייכמן</w:t>
            </w:r>
            <w:proofErr w:type="spellEnd"/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2. הנכדה 2</w:t>
            </w:r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3. הנכדה 3</w:t>
            </w:r>
            <w:r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הנכדות על ידי ב"כ עו"ד </w:t>
            </w:r>
            <w:proofErr w:type="spellStart"/>
            <w:r>
              <w:rPr>
                <w:rFonts w:hint="cs"/>
                <w:b/>
                <w:bCs/>
                <w:sz w:val="26"/>
                <w:szCs w:val="26"/>
                <w:rtl/>
              </w:rPr>
              <w:t>דרויש</w:t>
            </w:r>
            <w:proofErr w:type="spellEnd"/>
          </w:p>
          <w:p w:rsidR="00503834" w:rsidRDefault="00503834" w:rsidP="00944057">
            <w:pPr>
              <w:jc w:val="left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503834" w:rsidRDefault="00503834" w:rsidP="00503834">
      <w:pPr>
        <w:spacing w:line="360" w:lineRule="auto"/>
        <w:jc w:val="both"/>
        <w:rPr>
          <w:sz w:val="6"/>
          <w:szCs w:val="6"/>
          <w:rtl/>
        </w:rPr>
      </w:pPr>
      <w:r>
        <w:rPr>
          <w:sz w:val="6"/>
          <w:szCs w:val="6"/>
          <w:rtl/>
        </w:rPr>
        <w:t>&lt;#2#&gt;</w:t>
      </w:r>
    </w:p>
    <w:p w:rsidR="00503834" w:rsidRDefault="00503834" w:rsidP="00503834">
      <w:pPr>
        <w:bidi w:val="0"/>
        <w:rPr>
          <w:rFonts w:ascii="Arial" w:eastAsia="Times New Roman" w:hAnsi="Arial"/>
          <w:lang w:eastAsia="he-IL"/>
        </w:rPr>
      </w:pPr>
      <w:bookmarkStart w:id="0" w:name="A000000255984"/>
      <w:bookmarkStart w:id="1" w:name="A000000015336"/>
      <w:bookmarkStart w:id="2" w:name="_ETM_Q_5799"/>
      <w:bookmarkStart w:id="3" w:name="_ETM_Q_19590"/>
      <w:bookmarkStart w:id="4" w:name="_ETM_Q_160550"/>
      <w:bookmarkStart w:id="5" w:name="_ETM_Q_162639"/>
      <w:bookmarkStart w:id="6" w:name="_ETM_Q_160338"/>
      <w:bookmarkStart w:id="7" w:name="_ETM_Q_161180"/>
      <w:bookmarkStart w:id="8" w:name="_ETM_Q_164936"/>
      <w:bookmarkStart w:id="9" w:name="_ETM_Q_169010"/>
      <w:bookmarkStart w:id="10" w:name="_ETM_Q_167764"/>
      <w:bookmarkStart w:id="11" w:name="_ETM_Q_174447"/>
      <w:bookmarkStart w:id="12" w:name="_ETM_Q_178209"/>
      <w:bookmarkStart w:id="13" w:name="_ETM_Q_183851"/>
      <w:bookmarkStart w:id="14" w:name="_ETM_Q_186047"/>
      <w:bookmarkStart w:id="15" w:name="_ETM_Q_186881"/>
      <w:bookmarkStart w:id="16" w:name="_ETM_Q_188445"/>
      <w:bookmarkStart w:id="17" w:name="_ETM_Q_192730"/>
      <w:bookmarkStart w:id="18" w:name="_ETM_Q_305369"/>
      <w:bookmarkStart w:id="19" w:name="_ETM_Q_308192"/>
      <w:bookmarkStart w:id="20" w:name="_ETM_Q_308509"/>
      <w:bookmarkStart w:id="21" w:name="_ETM_Q_311642"/>
      <w:bookmarkStart w:id="22" w:name="_ETM_Q_311117"/>
      <w:bookmarkStart w:id="23" w:name="_ETM_Q_312057"/>
      <w:bookmarkStart w:id="24" w:name="_ETM_Q_313315"/>
      <w:bookmarkStart w:id="25" w:name="_ETM_Q_316028"/>
      <w:bookmarkStart w:id="26" w:name="_ETM_Q_319898"/>
      <w:bookmarkStart w:id="27" w:name="_ETM_Q_321356"/>
      <w:bookmarkStart w:id="28" w:name="_ETM_Q_323238"/>
      <w:bookmarkStart w:id="29" w:name="_ETM_Q_321985"/>
      <w:bookmarkStart w:id="30" w:name="_ETM_Q_324804"/>
      <w:bookmarkStart w:id="31" w:name="_ETM_Q_326374"/>
      <w:bookmarkStart w:id="32" w:name="_ETM_Q_339542"/>
      <w:bookmarkStart w:id="33" w:name="_ETM_Q_382487"/>
      <w:bookmarkStart w:id="34" w:name="_ETM_Q_396589"/>
      <w:bookmarkStart w:id="35" w:name="_ETM_Q_398057"/>
      <w:bookmarkStart w:id="36" w:name="_ETM_Q_398908"/>
      <w:bookmarkStart w:id="37" w:name="_ETM_Q_402133"/>
      <w:bookmarkStart w:id="38" w:name="_ETM_Q_404636"/>
      <w:bookmarkStart w:id="39" w:name="_ETM_Q_403277"/>
      <w:bookmarkStart w:id="40" w:name="_ETM_Q_405056"/>
      <w:bookmarkStart w:id="41" w:name="_ETM_Q_399517"/>
      <w:bookmarkStart w:id="42" w:name="_ETM_Q_407981"/>
      <w:bookmarkStart w:id="43" w:name="_ETM_Q_411532"/>
      <w:bookmarkStart w:id="44" w:name="_ETM_Q_407994"/>
      <w:bookmarkStart w:id="45" w:name="_ETM_Q_409773"/>
      <w:bookmarkStart w:id="46" w:name="_ETM_Q_411952"/>
      <w:bookmarkStart w:id="47" w:name="_ETM_Q_412277"/>
      <w:bookmarkStart w:id="48" w:name="_ETM_Q_412790"/>
      <w:bookmarkStart w:id="49" w:name="_ETM_Q_415607"/>
      <w:bookmarkStart w:id="50" w:name="_ETM_Q_489794"/>
      <w:bookmarkStart w:id="51" w:name="_ETM_Q_490737"/>
      <w:bookmarkStart w:id="52" w:name="_ETM_Q_492321"/>
      <w:bookmarkStart w:id="53" w:name="_ETM_Q_497007"/>
      <w:bookmarkStart w:id="54" w:name="_ETM_Q_500456"/>
      <w:bookmarkStart w:id="55" w:name="_ETM_Q_497632"/>
      <w:bookmarkStart w:id="56" w:name="_ETM_Q_497946"/>
      <w:bookmarkStart w:id="57" w:name="_ETM_Q_499215"/>
      <w:bookmarkStart w:id="58" w:name="_ETM_Q_504528"/>
      <w:bookmarkStart w:id="59" w:name="_ETM_Q_506411"/>
      <w:bookmarkStart w:id="60" w:name="_ETM_Q_505485"/>
      <w:bookmarkStart w:id="61" w:name="_ETM_Q_507975"/>
      <w:bookmarkStart w:id="62" w:name="_ETM_Q_524902"/>
      <w:bookmarkStart w:id="63" w:name="_ETM_Q_522086"/>
      <w:bookmarkStart w:id="64" w:name="_ETM_Q_524905"/>
      <w:bookmarkStart w:id="65" w:name="_ETM_Q_523669"/>
      <w:bookmarkStart w:id="66" w:name="_ETM_Q_524907"/>
      <w:bookmarkStart w:id="67" w:name="_ETM_Q_524609"/>
      <w:bookmarkStart w:id="68" w:name="_ETM_Q_530232"/>
      <w:bookmarkStart w:id="69" w:name="_ETM_Q_528357"/>
      <w:bookmarkStart w:id="70" w:name="_ETM_Q_526486"/>
      <w:bookmarkStart w:id="71" w:name="_ETM_Q_528350"/>
      <w:bookmarkStart w:id="72" w:name="_ETM_Q_527742"/>
      <w:bookmarkStart w:id="73" w:name="_ETM_Q_533682"/>
      <w:bookmarkStart w:id="74" w:name="_ETM_Q_532757"/>
      <w:bookmarkStart w:id="75" w:name="_ETM_Q_536814"/>
      <w:bookmarkStart w:id="76" w:name="_ETM_Q_554369"/>
      <w:bookmarkStart w:id="77" w:name="_ETM_Q_557503"/>
      <w:bookmarkStart w:id="78" w:name="_ETM_Q_558758"/>
      <w:bookmarkStart w:id="79" w:name="_ETM_Q_573508"/>
      <w:bookmarkStart w:id="80" w:name="_ETM_Q_574123"/>
      <w:bookmarkStart w:id="81" w:name="_ETM_Q_575686"/>
      <w:bookmarkStart w:id="82" w:name="_ETM_Q_575076"/>
      <w:bookmarkStart w:id="83" w:name="_ETM_Q_583522"/>
      <w:bookmarkStart w:id="84" w:name="_ETM_Q_598273"/>
      <w:bookmarkStart w:id="85" w:name="_ETM_Q_602644"/>
      <w:bookmarkStart w:id="86" w:name="_ETM_Q_604213"/>
      <w:bookmarkStart w:id="87" w:name="_ETM_Q_699405"/>
      <w:bookmarkStart w:id="88" w:name="_ETM_Q_764917"/>
      <w:bookmarkStart w:id="89" w:name="_ETM_Q_762116"/>
      <w:bookmarkStart w:id="90" w:name="_ETM_Q_764291"/>
      <w:bookmarkStart w:id="91" w:name="_ETM_Q_797831"/>
      <w:bookmarkStart w:id="92" w:name="_ETM_Q_793771"/>
      <w:bookmarkStart w:id="93" w:name="_ETM_Q_795743"/>
      <w:bookmarkStart w:id="94" w:name="_ETM_Q_800441"/>
      <w:bookmarkStart w:id="95" w:name="_ETM_Q_801696"/>
      <w:bookmarkStart w:id="96" w:name="_ETM_Q_810687"/>
      <w:bookmarkStart w:id="97" w:name="_ETM_Q_811936"/>
      <w:bookmarkStart w:id="98" w:name="_ETM_Q_821549"/>
      <w:bookmarkStart w:id="99" w:name="_ETM_Q_837541"/>
      <w:bookmarkStart w:id="100" w:name="_ETM_Q_840045"/>
      <w:bookmarkStart w:id="101" w:name="_ETM_Q_841615"/>
      <w:bookmarkStart w:id="102" w:name="_ETM_Q_842867"/>
      <w:bookmarkStart w:id="103" w:name="_ETM_Q_844748"/>
      <w:bookmarkStart w:id="104" w:name="_ETM_Q_847882"/>
      <w:bookmarkStart w:id="105" w:name="_ETM_Q_884247"/>
      <w:bookmarkStart w:id="106" w:name="_ETM_Q_898039"/>
      <w:bookmarkStart w:id="107" w:name="_ETM_Q_895527"/>
      <w:bookmarkStart w:id="108" w:name="_ETM_Q_903365"/>
      <w:bookmarkStart w:id="109" w:name="_ETM_Q_899622"/>
      <w:bookmarkStart w:id="110" w:name="_ETM_Q_910263"/>
      <w:bookmarkStart w:id="111" w:name="_ETM_Q_917577"/>
      <w:bookmarkStart w:id="112" w:name="_ETM_Q_919144"/>
      <w:bookmarkStart w:id="113" w:name="_ETM_Q_929698"/>
      <w:bookmarkStart w:id="114" w:name="_ETM_Q_927711"/>
      <w:bookmarkStart w:id="115" w:name="_ETM_Q_928970"/>
      <w:bookmarkStart w:id="116" w:name="_ETM_Q_926475"/>
      <w:bookmarkStart w:id="117" w:name="_ETM_Q_928652"/>
      <w:bookmarkStart w:id="118" w:name="_ETM_Q_929597"/>
      <w:bookmarkStart w:id="119" w:name="_ETM_Q_950802"/>
      <w:bookmarkStart w:id="120" w:name="_ETM_Q_952372"/>
      <w:bookmarkStart w:id="121" w:name="_ETM_Q_966169"/>
      <w:bookmarkStart w:id="122" w:name="_ETM_Q_965958"/>
      <w:bookmarkStart w:id="123" w:name="_ETM_Q_970971"/>
      <w:bookmarkStart w:id="124" w:name="_ETM_Q_973691"/>
      <w:bookmarkStart w:id="125" w:name="_ETM_Q_973268"/>
      <w:bookmarkStart w:id="126" w:name="_ETM_Q_977032"/>
      <w:bookmarkStart w:id="127" w:name="_ETM_Q_974000"/>
      <w:bookmarkStart w:id="128" w:name="_ETM_Q_975881"/>
      <w:bookmarkStart w:id="129" w:name="_ETM_Q_998555"/>
      <w:bookmarkStart w:id="130" w:name="_ETM_Q_996361"/>
      <w:bookmarkStart w:id="131" w:name="_ETM_Q_1001067"/>
      <w:bookmarkStart w:id="132" w:name="_ETM_Q_1000858"/>
      <w:bookmarkStart w:id="133" w:name="_ETM_Q_1003678"/>
      <w:bookmarkStart w:id="134" w:name="_ETM_Q_1012870"/>
      <w:bookmarkStart w:id="135" w:name="_ETM_Q_1013810"/>
      <w:bookmarkStart w:id="136" w:name="_ETM_Q_1104298"/>
      <w:bookmarkStart w:id="137" w:name="_ETM_Q_1106497"/>
      <w:bookmarkStart w:id="138" w:name="_ETM_Q_1108689"/>
      <w:bookmarkStart w:id="139" w:name="_ETM_Q_1111931"/>
      <w:bookmarkStart w:id="140" w:name="_ETM_Q_1132096"/>
      <w:bookmarkStart w:id="141" w:name="_ETM_Q_1129065"/>
      <w:bookmarkStart w:id="142" w:name="_ETM_Q_1131883"/>
      <w:bookmarkStart w:id="143" w:name="_ETM_Q_1133765"/>
      <w:bookmarkStart w:id="144" w:name="_ETM_Q_1133976"/>
      <w:bookmarkStart w:id="145" w:name="_ETM_Q_1133662"/>
      <w:bookmarkStart w:id="146" w:name="_ETM_Q_1137735"/>
      <w:bookmarkStart w:id="147" w:name="_ETM_Q_1136169"/>
      <w:bookmarkStart w:id="148" w:name="_ETM_Q_1140242"/>
      <w:bookmarkStart w:id="149" w:name="_ETM_Q_1143799"/>
      <w:bookmarkStart w:id="150" w:name="_ETM_Q_1139736"/>
      <w:bookmarkStart w:id="151" w:name="_ETM_Q_1143172"/>
      <w:bookmarkStart w:id="152" w:name="_ETM_Q_1140661"/>
      <w:bookmarkStart w:id="153" w:name="_ETM_Q_1142543"/>
      <w:bookmarkStart w:id="154" w:name="_ETM_Q_1145886"/>
      <w:bookmarkStart w:id="155" w:name="_ETM_Q_1144424"/>
      <w:bookmarkStart w:id="156" w:name="_ETM_Q_1144751"/>
      <w:bookmarkStart w:id="157" w:name="_ETM_Q_1148184"/>
      <w:bookmarkStart w:id="158" w:name="_ETM_Q_1144946"/>
      <w:bookmarkStart w:id="159" w:name="_ETM_Q_1148918"/>
      <w:bookmarkStart w:id="160" w:name="_ETM_Q_1148814"/>
      <w:bookmarkStart w:id="161" w:name="_ETM_Q_1150605"/>
      <w:bookmarkStart w:id="162" w:name="_ETM_Q_1153514"/>
      <w:bookmarkStart w:id="163" w:name="_ETM_Q_1151650"/>
      <w:bookmarkStart w:id="164" w:name="_ETM_Q_1153833"/>
      <w:bookmarkStart w:id="165" w:name="_ETM_Q_1171698"/>
      <w:bookmarkStart w:id="166" w:name="_ETM_Q_1168769"/>
      <w:bookmarkStart w:id="167" w:name="_ETM_Q_1169712"/>
      <w:bookmarkStart w:id="168" w:name="_ETM_Q_1186952"/>
      <w:bookmarkStart w:id="169" w:name="_ETM_Q_1183523"/>
      <w:bookmarkStart w:id="170" w:name="_ETM_Q_1185069"/>
      <w:bookmarkStart w:id="171" w:name="_ETM_Q_1189042"/>
      <w:bookmarkStart w:id="172" w:name="_ETM_Q_1192387"/>
      <w:bookmarkStart w:id="173" w:name="_ETM_Q_1004096"/>
      <w:bookmarkStart w:id="174" w:name="_ETM_Q_1215161"/>
      <w:bookmarkStart w:id="175" w:name="_ETM_Q_1228118"/>
      <w:bookmarkStart w:id="176" w:name="_ETM_Q_1233764"/>
      <w:bookmarkStart w:id="177" w:name="_ETM_Q_1232508"/>
      <w:bookmarkStart w:id="178" w:name="_ETM_Q_1235017"/>
      <w:bookmarkStart w:id="179" w:name="_ETM_Q_1232408"/>
      <w:bookmarkStart w:id="180" w:name="_ETM_Q_1237422"/>
      <w:bookmarkStart w:id="181" w:name="_ETM_Q_1251947"/>
      <w:bookmarkStart w:id="182" w:name="_ETM_Q_1256331"/>
      <w:bookmarkStart w:id="183" w:name="_ETM_Q_1253509"/>
      <w:bookmarkStart w:id="184" w:name="_ETM_Q_1259887"/>
      <w:bookmarkStart w:id="185" w:name="_ETM_Q_1258840"/>
      <w:bookmarkStart w:id="186" w:name="_ETM_Q_1261975"/>
      <w:bookmarkStart w:id="187" w:name="_ETM_Q_1261243"/>
      <w:bookmarkStart w:id="188" w:name="_ETM_Q_1262814"/>
      <w:bookmarkStart w:id="189" w:name="_ETM_Q_1265320"/>
      <w:bookmarkStart w:id="190" w:name="_ETM_Q_1263142"/>
      <w:bookmarkStart w:id="191" w:name="_ETM_Q_1263753"/>
      <w:bookmarkStart w:id="192" w:name="_ETM_Q_1264695"/>
      <w:bookmarkStart w:id="193" w:name="_ETM_Q_1266260"/>
      <w:bookmarkStart w:id="194" w:name="_ETM_Q_1268453"/>
      <w:bookmarkStart w:id="195" w:name="_ETM_Q_1272109"/>
      <w:bookmarkStart w:id="196" w:name="_ETM_Q_1268679"/>
      <w:bookmarkStart w:id="197" w:name="_ETM_Q_1273467"/>
      <w:bookmarkStart w:id="198" w:name="_ETM_Q_1274726"/>
      <w:bookmarkStart w:id="199" w:name="_ETM_Q_1275247"/>
      <w:bookmarkStart w:id="200" w:name="_ETM_Q_1239302"/>
      <w:bookmarkStart w:id="201" w:name="_ETM_Q_1286220"/>
      <w:bookmarkStart w:id="202" w:name="_ETM_Q_1287785"/>
      <w:bookmarkStart w:id="203" w:name="_ETM_Q_1290923"/>
      <w:bookmarkStart w:id="204" w:name="_ETM_Q_1296250"/>
      <w:bookmarkStart w:id="205" w:name="_ETM_Q_1292502"/>
      <w:bookmarkStart w:id="206" w:name="_ETM_Q_1299067"/>
      <w:bookmarkStart w:id="207" w:name="_ETM_Q_1301265"/>
      <w:bookmarkStart w:id="208" w:name="_ETM_Q_1299387"/>
      <w:bookmarkStart w:id="209" w:name="_ETM_Q_1302206"/>
      <w:bookmarkStart w:id="210" w:name="_ETM_Q_1305658"/>
      <w:bookmarkStart w:id="211" w:name="_ETM_Q_1306593"/>
      <w:bookmarkStart w:id="212" w:name="_ETM_Q_1314113"/>
      <w:bookmarkStart w:id="213" w:name="_ETM_Q_1315369"/>
      <w:bookmarkStart w:id="214" w:name="_ETM_Q_1321324"/>
      <w:bookmarkStart w:id="215" w:name="_ETM_Q_1321011"/>
      <w:bookmarkStart w:id="216" w:name="_ETM_Q_1325089"/>
      <w:bookmarkStart w:id="217" w:name="_ETM_Q_846002"/>
      <w:bookmarkStart w:id="218" w:name="_ETM_Q_940878"/>
      <w:bookmarkStart w:id="219" w:name="_ETM_Q_1185384"/>
      <w:bookmarkStart w:id="220" w:name="_ETM_Q_1229064"/>
      <w:bookmarkStart w:id="221" w:name="_ETM_Q_1256857"/>
      <w:bookmarkStart w:id="222" w:name="_ETM_Q_1257167"/>
      <w:bookmarkStart w:id="223" w:name="_ETM_Q_1258108"/>
      <w:bookmarkStart w:id="224" w:name="_ETM_Q_1328852"/>
      <w:bookmarkStart w:id="225" w:name="_ETM_Q_1331670"/>
      <w:bookmarkStart w:id="226" w:name="_ETM_Q_1333550"/>
      <w:bookmarkStart w:id="227" w:name="_ETM_Q_1334491"/>
      <w:bookmarkStart w:id="228" w:name="_ETM_Q_1337001"/>
      <w:bookmarkStart w:id="229" w:name="_ETM_Q_1340029"/>
      <w:bookmarkStart w:id="230" w:name="_ETM_Q_1341909"/>
      <w:bookmarkStart w:id="231" w:name="_ETM_Q_1362076"/>
      <w:bookmarkStart w:id="232" w:name="_ETM_Q_1364692"/>
      <w:bookmarkStart w:id="233" w:name="_ETM_Q_1368140"/>
      <w:bookmarkStart w:id="234" w:name="_ETM_Q_1364394"/>
      <w:bookmarkStart w:id="235" w:name="_ETM_Q_1367092"/>
      <w:bookmarkStart w:id="236" w:name="_ETM_Q_1373779"/>
      <w:bookmarkStart w:id="237" w:name="_ETM_Q_1366777"/>
      <w:bookmarkStart w:id="238" w:name="_ETM_Q_1379107"/>
      <w:bookmarkStart w:id="239" w:name="_ETM_Q_1381304"/>
      <w:bookmarkStart w:id="240" w:name="_ETM_Q_1382243"/>
      <w:bookmarkStart w:id="241" w:name="_ETM_Q_1383184"/>
      <w:bookmarkStart w:id="242" w:name="_ETM_Q_1384123"/>
      <w:bookmarkStart w:id="243" w:name="_ETM_Q_1385063"/>
      <w:bookmarkStart w:id="244" w:name="_ETM_Q_1386007"/>
      <w:bookmarkStart w:id="245" w:name="_ETM_Q_1401993"/>
      <w:bookmarkStart w:id="246" w:name="_ETM_Q_1403247"/>
      <w:bookmarkStart w:id="247" w:name="_ETM_Q_1408261"/>
      <w:bookmarkStart w:id="248" w:name="_ETM_Q_1408157"/>
      <w:bookmarkStart w:id="249" w:name="_ETM_Q_1410349"/>
      <w:bookmarkStart w:id="250" w:name="_ETM_Q_1415052"/>
      <w:bookmarkStart w:id="251" w:name="_ETM_Q_1411618"/>
      <w:bookmarkStart w:id="252" w:name="_ETM_Q_1416933"/>
      <w:bookmarkStart w:id="253" w:name="_ETM_Q_1418185"/>
      <w:bookmarkStart w:id="254" w:name="_ETM_Q_1419444"/>
      <w:bookmarkStart w:id="255" w:name="_ETM_Q_1417682"/>
      <w:bookmarkStart w:id="256" w:name="_ETM_Q_1426340"/>
      <w:bookmarkStart w:id="257" w:name="_ETM_Q_1425189"/>
      <w:bookmarkStart w:id="258" w:name="_ETM_Q_1426129"/>
      <w:bookmarkStart w:id="259" w:name="_ETM_Q_1427381"/>
      <w:bookmarkStart w:id="260" w:name="_ETM_Q_1434699"/>
      <w:bookmarkStart w:id="261" w:name="_ETM_Q_1437519"/>
      <w:bookmarkStart w:id="262" w:name="_ETM_Q_1439087"/>
      <w:bookmarkStart w:id="263" w:name="_ETM_Q_1440651"/>
      <w:bookmarkStart w:id="264" w:name="_ETM_Q_1438456"/>
      <w:bookmarkStart w:id="265" w:name="_ETM_Q_1440655"/>
      <w:bookmarkStart w:id="266" w:name="_ETM_Q_1443473"/>
      <w:bookmarkStart w:id="267" w:name="_ETM_Q_1444726"/>
      <w:bookmarkStart w:id="268" w:name="_ETM_Q_1443682"/>
      <w:bookmarkStart w:id="269" w:name="_ETM_Q_1445877"/>
      <w:bookmarkStart w:id="270" w:name="_ETM_Q_1449643"/>
      <w:bookmarkStart w:id="271" w:name="_ETM_Q_1451523"/>
      <w:bookmarkStart w:id="272" w:name="_ETM_Q_1452461"/>
      <w:bookmarkStart w:id="273" w:name="_ETM_Q_1453087"/>
      <w:bookmarkStart w:id="274" w:name="_ETM_Q_1454969"/>
      <w:bookmarkStart w:id="275" w:name="_ETM_Q_1457162"/>
      <w:bookmarkStart w:id="276" w:name="_ETM_Q_1459981"/>
      <w:bookmarkStart w:id="277" w:name="_ETM_Q_1464061"/>
      <w:bookmarkStart w:id="278" w:name="_ETM_Q_1465311"/>
      <w:bookmarkStart w:id="279" w:name="_ETM_Q_1463224"/>
      <w:bookmarkStart w:id="280" w:name="_ETM_Q_1464480"/>
      <w:bookmarkStart w:id="281" w:name="_ETM_Q_1466983"/>
      <w:bookmarkStart w:id="282" w:name="_ETM_Q_1478584"/>
      <w:bookmarkStart w:id="283" w:name="_ETM_Q_1479521"/>
      <w:bookmarkStart w:id="284" w:name="_ETM_Q_1483284"/>
      <w:bookmarkStart w:id="285" w:name="_ETM_Q_1483915"/>
      <w:bookmarkStart w:id="286" w:name="_ETM_Q_1484540"/>
      <w:bookmarkStart w:id="287" w:name="_ETM_Q_1484228"/>
      <w:bookmarkStart w:id="288" w:name="_ETM_Q_1485791"/>
      <w:bookmarkStart w:id="289" w:name="_ETM_Q_1487671"/>
      <w:bookmarkStart w:id="290" w:name="_ETM_Q_1490806"/>
      <w:bookmarkStart w:id="291" w:name="_ETM_Q_1495198"/>
      <w:bookmarkStart w:id="292" w:name="_ETM_Q_1498016"/>
      <w:bookmarkStart w:id="293" w:name="_ETM_Q_1503346"/>
      <w:bookmarkStart w:id="294" w:name="_ETM_Q_1505539"/>
      <w:bookmarkStart w:id="295" w:name="_ETM_Q_1503035"/>
      <w:bookmarkStart w:id="296" w:name="_ETM_Q_1504916"/>
      <w:bookmarkStart w:id="297" w:name="_ETM_Q_1506173"/>
      <w:bookmarkStart w:id="298" w:name="_ETM_Q_1510245"/>
      <w:bookmarkStart w:id="299" w:name="_ETM_Q_1514316"/>
      <w:bookmarkStart w:id="300" w:name="_ETM_Q_1512749"/>
      <w:bookmarkStart w:id="301" w:name="_ETM_Q_1513695"/>
      <w:bookmarkStart w:id="302" w:name="_ETM_Q_1513079"/>
      <w:bookmarkStart w:id="303" w:name="_ETM_Q_1520068"/>
      <w:bookmarkStart w:id="304" w:name="_ETM_Q_1521634"/>
      <w:bookmarkStart w:id="305" w:name="_ETM_Q_1522260"/>
      <w:bookmarkStart w:id="306" w:name="_ETM_Q_1524769"/>
      <w:bookmarkStart w:id="307" w:name="_ETM_Q_1527586"/>
      <w:bookmarkStart w:id="308" w:name="_ETM_Q_1530726"/>
      <w:bookmarkStart w:id="309" w:name="_ETM_Q_1531349"/>
      <w:bookmarkStart w:id="310" w:name="_ETM_Q_1529258"/>
      <w:bookmarkStart w:id="311" w:name="_ETM_Q_1531456"/>
      <w:bookmarkStart w:id="312" w:name="_ETM_Q_1535216"/>
      <w:bookmarkStart w:id="313" w:name="_ETM_Q_1542111"/>
      <w:bookmarkStart w:id="314" w:name="_ETM_Q_1543053"/>
      <w:bookmarkStart w:id="315" w:name="_ETM_Q_1542530"/>
      <w:bookmarkStart w:id="316" w:name="_ETM_Q_1543783"/>
      <w:bookmarkStart w:id="317" w:name="_ETM_Q_1545355"/>
      <w:bookmarkStart w:id="318" w:name="_ETM_Q_1550784"/>
      <w:bookmarkStart w:id="319" w:name="_ETM_Q_1551414"/>
      <w:bookmarkStart w:id="320" w:name="_ETM_Q_1551832"/>
      <w:bookmarkStart w:id="321" w:name="_ETM_Q_1556220"/>
      <w:bookmarkStart w:id="322" w:name="_ETM_Q_1564057"/>
      <w:bookmarkStart w:id="323" w:name="_ETM_Q_1564682"/>
      <w:bookmarkStart w:id="324" w:name="_ETM_Q_1577850"/>
      <w:bookmarkStart w:id="325" w:name="_ETM_Q_1578791"/>
      <w:bookmarkStart w:id="326" w:name="_ETM_Q_1583805"/>
      <w:bookmarkStart w:id="327" w:name="_ETM_Q_1586000"/>
      <w:bookmarkStart w:id="328" w:name="_ETM_Q_1588194"/>
      <w:bookmarkStart w:id="329" w:name="_ETM_Q_1589445"/>
      <w:bookmarkStart w:id="330" w:name="_ETM_Q_1586834"/>
      <w:bookmarkStart w:id="331" w:name="_ETM_Q_1589966"/>
      <w:bookmarkStart w:id="332" w:name="_ETM_Q_1595505"/>
      <w:bookmarkStart w:id="333" w:name="_ETM_Q_1597080"/>
      <w:bookmarkStart w:id="334" w:name="_ETM_Q_1599584"/>
      <w:bookmarkStart w:id="335" w:name="_ETM_Q_1604282"/>
      <w:bookmarkStart w:id="336" w:name="_ETM_Q_1631872"/>
      <w:bookmarkStart w:id="337" w:name="_ETM_Q_1633126"/>
      <w:bookmarkStart w:id="338" w:name="_ETM_Q_1629888"/>
      <w:bookmarkStart w:id="339" w:name="_ETM_Q_1631449"/>
      <w:bookmarkStart w:id="340" w:name="_ETM_Q_1633121"/>
      <w:bookmarkStart w:id="341" w:name="_ETM_Q_1652454"/>
      <w:bookmarkStart w:id="342" w:name="_ETM_Q_1659870"/>
      <w:bookmarkStart w:id="343" w:name="_ETM_Q_1661753"/>
      <w:bookmarkStart w:id="344" w:name="_ETM_Q_1662276"/>
      <w:bookmarkStart w:id="345" w:name="_ETM_Q_1663216"/>
      <w:bookmarkStart w:id="346" w:name="_ETM_Q_1667917"/>
      <w:bookmarkStart w:id="347" w:name="_ETM_Q_1675131"/>
      <w:bookmarkStart w:id="348" w:name="_ETM_Q_1676383"/>
      <w:bookmarkStart w:id="349" w:name="_ETM_Q_1677322"/>
      <w:bookmarkStart w:id="350" w:name="_ETM_Q_1715878"/>
      <w:bookmarkStart w:id="351" w:name="_ETM_Q_1716507"/>
      <w:bookmarkStart w:id="352" w:name="_ETM_Q_1718071"/>
      <w:bookmarkStart w:id="353" w:name="_ETM_Q_1719016"/>
      <w:bookmarkStart w:id="354" w:name="_ETM_Q_1722460"/>
      <w:bookmarkStart w:id="355" w:name="_ETM_Q_1720479"/>
      <w:bookmarkStart w:id="356" w:name="_ETM_Q_1721734"/>
      <w:bookmarkStart w:id="357" w:name="_ETM_Q_1723299"/>
      <w:bookmarkStart w:id="358" w:name="_ETM_Q_1722358"/>
      <w:bookmarkStart w:id="359" w:name="_ETM_Q_1728628"/>
      <w:bookmarkStart w:id="360" w:name="_ETM_Q_1739286"/>
      <w:bookmarkStart w:id="361" w:name="_ETM_Q_1740542"/>
      <w:bookmarkStart w:id="362" w:name="_ETM_Q_1746496"/>
      <w:bookmarkStart w:id="363" w:name="_ETM_Q_1756213"/>
      <w:bookmarkStart w:id="364" w:name="_ETM_Q_1759034"/>
      <w:bookmarkStart w:id="365" w:name="_ETM_Q_1772514"/>
      <w:bookmarkStart w:id="366" w:name="_ETM_Q_1773137"/>
      <w:bookmarkStart w:id="367" w:name="_ETM_Q_1626542"/>
      <w:bookmarkStart w:id="368" w:name="_ETM_Q_1798424"/>
      <w:bookmarkStart w:id="369" w:name="_ETM_Q_473"/>
      <w:bookmarkStart w:id="370" w:name="_ETM_Q_1099"/>
      <w:bookmarkStart w:id="371" w:name="_ETM_Q_4546"/>
      <w:bookmarkStart w:id="372" w:name="_ETM_Q_3917"/>
      <w:bookmarkStart w:id="373" w:name="_ETM_Q_6111"/>
      <w:bookmarkStart w:id="374" w:name="_ETM_Q_7053"/>
      <w:bookmarkStart w:id="375" w:name="_ETM_Q_11756"/>
      <w:bookmarkStart w:id="376" w:name="_ETM_Q_18025"/>
      <w:bookmarkStart w:id="377" w:name="_ETM_Q_16456"/>
      <w:bookmarkStart w:id="378" w:name="_ETM_Q_20847"/>
      <w:bookmarkStart w:id="379" w:name="_ETM_Q_22101"/>
      <w:bookmarkStart w:id="380" w:name="_ETM_Q_22427"/>
      <w:bookmarkStart w:id="381" w:name="_ETM_Q_23353"/>
      <w:bookmarkStart w:id="382" w:name="_ETM_Q_29312"/>
      <w:bookmarkStart w:id="383" w:name="_ETM_Q_30876"/>
      <w:bookmarkStart w:id="384" w:name="_ETM_Q_30562"/>
      <w:bookmarkStart w:id="385" w:name="_ETM_Q_33070"/>
      <w:bookmarkStart w:id="386" w:name="_ETM_Q_34949"/>
      <w:bookmarkStart w:id="387" w:name="_ETM_Q_38086"/>
      <w:bookmarkStart w:id="388" w:name="_ETM_Q_36834"/>
      <w:bookmarkStart w:id="389" w:name="_ETM_Q_38402"/>
      <w:bookmarkStart w:id="390" w:name="_ETM_Q_39340"/>
      <w:bookmarkStart w:id="391" w:name="_ETM_Q_39339"/>
      <w:bookmarkStart w:id="392" w:name="_ETM_Q_40596"/>
      <w:bookmarkStart w:id="393" w:name="_ETM_Q_44355"/>
      <w:bookmarkStart w:id="394" w:name="_ETM_Q_42472"/>
      <w:bookmarkStart w:id="395" w:name="_ETM_Q_48742"/>
      <w:bookmarkStart w:id="396" w:name="_ETM_Q_47802"/>
      <w:bookmarkStart w:id="397" w:name="_ETM_Q_50937"/>
      <w:bookmarkStart w:id="398" w:name="_ETM_Q_50624"/>
      <w:bookmarkStart w:id="399" w:name="_ETM_Q_64732"/>
      <w:bookmarkStart w:id="400" w:name="_ETM_Q_65566"/>
      <w:bookmarkStart w:id="401" w:name="_ETM_Q_67448"/>
      <w:bookmarkStart w:id="402" w:name="_ETM_Q_71735"/>
      <w:bookmarkStart w:id="403" w:name="_ETM_Q_74552"/>
      <w:bookmarkStart w:id="404" w:name="_ETM_Q_75807"/>
      <w:bookmarkStart w:id="405" w:name="_ETM_Q_78319"/>
      <w:bookmarkStart w:id="406" w:name="_ETM_Q_79362"/>
      <w:bookmarkStart w:id="407" w:name="_ETM_Q_79360"/>
      <w:bookmarkStart w:id="408" w:name="_ETM_Q_88136"/>
      <w:bookmarkStart w:id="409" w:name="_ETM_Q_90333"/>
      <w:bookmarkStart w:id="410" w:name="_ETM_Q_91272"/>
      <w:bookmarkStart w:id="411" w:name="_ETM_Q_90017"/>
      <w:bookmarkStart w:id="412" w:name="_ETM_Q_91273"/>
      <w:bookmarkStart w:id="413" w:name="_ETM_Q_95659"/>
      <w:bookmarkStart w:id="414" w:name="_ETM_Q_96600"/>
      <w:bookmarkStart w:id="415" w:name="_ETM_Q_97544"/>
      <w:bookmarkStart w:id="416" w:name="_ETM_Q_96601"/>
      <w:bookmarkStart w:id="417" w:name="_ETM_Q_98793"/>
      <w:bookmarkStart w:id="418" w:name="_ETM_Q_100991"/>
      <w:bookmarkStart w:id="419" w:name="_ETM_Q_105690"/>
      <w:bookmarkStart w:id="420" w:name="_ETM_Q_106629"/>
      <w:bookmarkStart w:id="421" w:name="_ETM_Q_114469"/>
      <w:bookmarkStart w:id="422" w:name="_ETM_Q_112191"/>
      <w:bookmarkStart w:id="423" w:name="_ETM_Q_116557"/>
      <w:bookmarkStart w:id="424" w:name="_ETM_Q_118333"/>
      <w:bookmarkStart w:id="425" w:name="_ETM_Q_117602"/>
      <w:bookmarkStart w:id="426" w:name="_ETM_Q_119797"/>
      <w:bookmarkStart w:id="427" w:name="_ETM_Q_122306"/>
      <w:bookmarkStart w:id="428" w:name="_ETM_Q_119187"/>
      <w:bookmarkStart w:id="429" w:name="_ETM_Q_122095"/>
      <w:bookmarkStart w:id="430" w:name="_ETM_Q_125228"/>
      <w:bookmarkStart w:id="431" w:name="_ETM_Q_131815"/>
      <w:bookmarkStart w:id="432" w:name="_ETM_Q_134008"/>
      <w:bookmarkStart w:id="433" w:name="_ETM_Q_134951"/>
      <w:bookmarkStart w:id="434" w:name="_ETM_Q_137141"/>
      <w:bookmarkStart w:id="435" w:name="_ETM_Q_138082"/>
      <w:bookmarkStart w:id="436" w:name="_ETM_Q_142471"/>
      <w:bookmarkStart w:id="437" w:name="_ETM_Q_144982"/>
      <w:bookmarkStart w:id="438" w:name="_ETM_Q_146546"/>
      <w:bookmarkStart w:id="439" w:name="_ETM_Q_148741"/>
      <w:bookmarkStart w:id="440" w:name="_ETM_Q_147816"/>
      <w:bookmarkStart w:id="441" w:name="_ETM_Q_152088"/>
      <w:bookmarkStart w:id="442" w:name="_ETM_Q_154591"/>
      <w:bookmarkStart w:id="443" w:name="_ETM_Q_177788"/>
      <w:bookmarkStart w:id="444" w:name="_ETM_Q_178731"/>
      <w:bookmarkStart w:id="445" w:name="_ETM_Q_175910"/>
      <w:bookmarkStart w:id="446" w:name="_ETM_Q_180930"/>
      <w:bookmarkStart w:id="447" w:name="_ETM_Q_183745"/>
      <w:bookmarkStart w:id="448" w:name="_ETM_Q_185000"/>
      <w:bookmarkStart w:id="449" w:name="_ETM_Q_188136"/>
      <w:bookmarkStart w:id="450" w:name="_ETM_Q_190326"/>
      <w:bookmarkStart w:id="451" w:name="_ETM_Q_193150"/>
      <w:bookmarkStart w:id="452" w:name="_ETM_Q_192835"/>
      <w:bookmarkStart w:id="453" w:name="_ETM_Q_196601"/>
      <w:bookmarkStart w:id="454" w:name="_ETM_Q_202238"/>
      <w:bookmarkStart w:id="455" w:name="_ETM_Q_204434"/>
      <w:bookmarkStart w:id="456" w:name="_ETM_Q_201611"/>
      <w:bookmarkStart w:id="457" w:name="_ETM_Q_202557"/>
      <w:bookmarkStart w:id="458" w:name="_ETM_Q_204118"/>
      <w:bookmarkStart w:id="459" w:name="_ETM_Q_207882"/>
      <w:bookmarkStart w:id="460" w:name="_ETM_Q_208828"/>
      <w:bookmarkStart w:id="461" w:name="_ETM_Q_210913"/>
      <w:bookmarkStart w:id="462" w:name="_ETM_Q_211851"/>
      <w:bookmarkStart w:id="463" w:name="_ETM_Q_212375"/>
      <w:bookmarkStart w:id="464" w:name="_ETM_Q_215510"/>
      <w:bookmarkStart w:id="465" w:name="_ETM_Q_218021"/>
      <w:bookmarkStart w:id="466" w:name="_ETM_Q_221152"/>
      <w:bookmarkStart w:id="467" w:name="_ETM_Q_222092"/>
      <w:bookmarkStart w:id="468" w:name="_ETM_Q_223034"/>
      <w:bookmarkStart w:id="469" w:name="_ETM_Q_222823"/>
      <w:bookmarkStart w:id="470" w:name="_ETM_Q_223450"/>
      <w:bookmarkStart w:id="471" w:name="_ETM_Q_224079"/>
      <w:bookmarkStart w:id="472" w:name="_ETM_Q_225334"/>
      <w:bookmarkStart w:id="473" w:name="_ETM_Q_233798"/>
      <w:bookmarkStart w:id="474" w:name="_ETM_Q_237248"/>
      <w:bookmarkStart w:id="475" w:name="_ETM_Q_244143"/>
      <w:bookmarkStart w:id="476" w:name="_ETM_Q_245080"/>
      <w:bookmarkStart w:id="477" w:name="_ETM_Q_247903"/>
      <w:bookmarkStart w:id="478" w:name="_ETM_Q_249471"/>
      <w:bookmarkStart w:id="479" w:name="_ETM_Q_250413"/>
      <w:bookmarkStart w:id="480" w:name="_ETM_Q_252603"/>
      <w:bookmarkStart w:id="481" w:name="_ETM_Q_252288"/>
      <w:bookmarkStart w:id="482" w:name="_ETM_Q_257308"/>
      <w:bookmarkStart w:id="483" w:name="_ETM_Q_257936"/>
      <w:bookmarkStart w:id="484" w:name="_ETM_Q_261698"/>
      <w:bookmarkStart w:id="485" w:name="_ETM_Q_263890"/>
      <w:bookmarkStart w:id="486" w:name="_ETM_Q_266084"/>
      <w:bookmarkStart w:id="487" w:name="_ETM_Q_274546"/>
      <w:bookmarkStart w:id="488" w:name="_ETM_Q_275806"/>
      <w:bookmarkStart w:id="489" w:name="_ETM_Q_277052"/>
      <w:bookmarkStart w:id="490" w:name="_ETM_Q_278626"/>
      <w:bookmarkStart w:id="491" w:name="_ETM_Q_281759"/>
      <w:bookmarkStart w:id="492" w:name="_ETM_Q_285517"/>
      <w:bookmarkStart w:id="493" w:name="_ETM_Q_288027"/>
      <w:bookmarkStart w:id="494" w:name="_ETM_Q_293985"/>
      <w:bookmarkStart w:id="495" w:name="_ETM_Q_296175"/>
      <w:bookmarkStart w:id="496" w:name="_ETM_Q_297428"/>
      <w:bookmarkStart w:id="497" w:name="_ETM_Q_300249"/>
      <w:bookmarkStart w:id="498" w:name="_ETM_Q_320002"/>
      <w:bookmarkStart w:id="499" w:name="_ETM_Q_320630"/>
      <w:bookmarkStart w:id="500" w:name="_ETM_Q_323450"/>
      <w:bookmarkStart w:id="501" w:name="_ETM_Q_324387"/>
      <w:bookmarkStart w:id="502" w:name="_ETM_Q_327835"/>
      <w:bookmarkStart w:id="503" w:name="_ETM_Q_331596"/>
      <w:bookmarkStart w:id="504" w:name="_ETM_Q_333163"/>
      <w:bookmarkStart w:id="505" w:name="_ETM_Q_343618"/>
      <w:bookmarkStart w:id="506" w:name="_ETM_Q_344556"/>
      <w:bookmarkStart w:id="507" w:name="_ETM_Q_348630"/>
      <w:bookmarkStart w:id="508" w:name="_ETM_Q_349256"/>
      <w:bookmarkStart w:id="509" w:name="_ETM_Q_351766"/>
      <w:bookmarkStart w:id="510" w:name="_ETM_Q_352390"/>
      <w:bookmarkStart w:id="511" w:name="_ETM_Q_353961"/>
      <w:bookmarkStart w:id="512" w:name="_ETM_Q_356466"/>
      <w:bookmarkStart w:id="513" w:name="_ETM_Q_360855"/>
      <w:bookmarkStart w:id="514" w:name="_ETM_Q_364824"/>
      <w:bookmarkStart w:id="515" w:name="_ETM_Q_365764"/>
      <w:bookmarkStart w:id="516" w:name="_ETM_Q_362337"/>
      <w:bookmarkStart w:id="517" w:name="_ETM_Q_362946"/>
      <w:bookmarkStart w:id="518" w:name="_ETM_Q_365142"/>
      <w:bookmarkStart w:id="519" w:name="_ETM_Q_369216"/>
      <w:bookmarkStart w:id="520" w:name="_ETM_Q_365468"/>
      <w:bookmarkStart w:id="521" w:name="_ETM_Q_368273"/>
      <w:bookmarkStart w:id="522" w:name="_ETM_Q_372975"/>
      <w:bookmarkStart w:id="523" w:name="_ETM_Q_374545"/>
      <w:bookmarkStart w:id="524" w:name="_ETM_Q_376736"/>
      <w:bookmarkStart w:id="525" w:name="_ETM_Q_380188"/>
      <w:bookmarkStart w:id="526" w:name="_ETM_Q_383008"/>
      <w:bookmarkStart w:id="527" w:name="_ETM_Q_383953"/>
      <w:bookmarkStart w:id="528" w:name="_ETM_Q_385828"/>
      <w:bookmarkStart w:id="529" w:name="_ETM_Q_386455"/>
      <w:bookmarkStart w:id="530" w:name="_ETM_Q_395233"/>
      <w:bookmarkStart w:id="531" w:name="_ETM_Q_401818"/>
      <w:bookmarkStart w:id="532" w:name="_ETM_Q_402758"/>
      <w:bookmarkStart w:id="533" w:name="_ETM_Q_407773"/>
      <w:bookmarkStart w:id="534" w:name="_ETM_Q_408712"/>
      <w:bookmarkStart w:id="535" w:name="_ETM_Q_409338"/>
      <w:bookmarkStart w:id="536" w:name="_ETM_Q_411218"/>
      <w:bookmarkStart w:id="537" w:name="_ETM_Q_413103"/>
      <w:bookmarkStart w:id="538" w:name="_ETM_Q_415292"/>
      <w:bookmarkStart w:id="539" w:name="_ETM_Q_415919"/>
      <w:bookmarkStart w:id="540" w:name="_ETM_Q_422190"/>
      <w:bookmarkStart w:id="541" w:name="_ETM_Q_423132"/>
      <w:bookmarkStart w:id="542" w:name="_ETM_Q_427209"/>
      <w:bookmarkStart w:id="543" w:name="_ETM_Q_429403"/>
      <w:bookmarkStart w:id="544" w:name="_ETM_Q_437549"/>
      <w:bookmarkStart w:id="545" w:name="_ETM_Q_440372"/>
      <w:bookmarkStart w:id="546" w:name="_ETM_Q_453224"/>
      <w:bookmarkStart w:id="547" w:name="_ETM_Q_455104"/>
      <w:bookmarkStart w:id="548" w:name="_ETM_Q_455734"/>
      <w:bookmarkStart w:id="549" w:name="_ETM_Q_456673"/>
      <w:bookmarkStart w:id="550" w:name="_ETM_Q_455106"/>
      <w:bookmarkStart w:id="551" w:name="_ETM_Q_456046"/>
      <w:bookmarkStart w:id="552" w:name="_ETM_Q_463258"/>
      <w:bookmarkStart w:id="553" w:name="_ETM_Q_465134"/>
      <w:bookmarkStart w:id="554" w:name="_ETM_Q_466076"/>
      <w:bookmarkStart w:id="555" w:name="_ETM_Q_472976"/>
      <w:bookmarkStart w:id="556" w:name="_ETM_Q_471196"/>
      <w:bookmarkStart w:id="557" w:name="_ETM_Q_472767"/>
      <w:bookmarkStart w:id="558" w:name="_ETM_Q_478092"/>
      <w:bookmarkStart w:id="559" w:name="_ETM_Q_479038"/>
      <w:bookmarkStart w:id="560" w:name="_ETM_Q_485302"/>
      <w:bookmarkStart w:id="561" w:name="_ETM_Q_481860"/>
      <w:bookmarkStart w:id="562" w:name="_ETM_Q_485932"/>
      <w:bookmarkStart w:id="563" w:name="_ETM_Q_487500"/>
      <w:bookmarkStart w:id="564" w:name="_ETM_Q_488749"/>
      <w:bookmarkStart w:id="565" w:name="_ETM_Q_489691"/>
      <w:bookmarkStart w:id="566" w:name="_ETM_Q_487808"/>
      <w:bookmarkStart w:id="567" w:name="_ETM_Q_490002"/>
      <w:bookmarkStart w:id="568" w:name="_ETM_Q_502543"/>
      <w:bookmarkStart w:id="569" w:name="_ETM_Q_503169"/>
      <w:bookmarkStart w:id="570" w:name="_ETM_Q_504425"/>
      <w:bookmarkStart w:id="571" w:name="_ETM_Q_502547"/>
      <w:bookmarkStart w:id="572" w:name="_ETM_Q_504736"/>
      <w:bookmarkStart w:id="573" w:name="_ETM_Q_506620"/>
      <w:bookmarkStart w:id="574" w:name="_ETM_Q_510382"/>
      <w:bookmarkStart w:id="575" w:name="_ETM_Q_512891"/>
      <w:bookmarkStart w:id="576" w:name="_ETM_Q_511005"/>
      <w:bookmarkStart w:id="577" w:name="_ETM_Q_514145"/>
      <w:bookmarkStart w:id="578" w:name="_ETM_Q_521977"/>
      <w:bookmarkStart w:id="579" w:name="_ETM_Q_524800"/>
      <w:bookmarkStart w:id="580" w:name="_ETM_Q_521665"/>
      <w:bookmarkStart w:id="581" w:name="_ETM_Q_522607"/>
      <w:bookmarkStart w:id="582" w:name="_ETM_Q_527619"/>
      <w:bookmarkStart w:id="583" w:name="_ETM_Q_528253"/>
      <w:bookmarkStart w:id="584" w:name="_ETM_Q_530757"/>
      <w:bookmarkStart w:id="585" w:name="_ETM_Q_528875"/>
      <w:bookmarkStart w:id="586" w:name="_ETM_Q_530130"/>
      <w:bookmarkStart w:id="587" w:name="_ETM_Q_535144"/>
      <w:bookmarkStart w:id="588" w:name="_ETM_Q_536088"/>
      <w:bookmarkStart w:id="589" w:name="_ETM_Q_532949"/>
      <w:bookmarkStart w:id="590" w:name="_ETM_Q_537655"/>
      <w:bookmarkStart w:id="591" w:name="_ETM_Q_546432"/>
      <w:bookmarkStart w:id="592" w:name="_ETM_Q_542670"/>
      <w:bookmarkStart w:id="593" w:name="_ETM_Q_543919"/>
      <w:bookmarkStart w:id="594" w:name="_ETM_Q_547684"/>
      <w:bookmarkStart w:id="595" w:name="_ETM_Q_548310"/>
      <w:bookmarkStart w:id="596" w:name="_ETM_Q_549564"/>
      <w:bookmarkStart w:id="597" w:name="_ETM_Q_550504"/>
      <w:bookmarkStart w:id="598" w:name="_ETM_Q_547054"/>
      <w:bookmarkStart w:id="599" w:name="_ETM_Q_553328"/>
      <w:bookmarkStart w:id="600" w:name="_ETM_Q_551133"/>
      <w:bookmarkStart w:id="601" w:name="_ETM_Q_553326"/>
      <w:bookmarkStart w:id="602" w:name="_ETM_Q_554265"/>
      <w:bookmarkStart w:id="603" w:name="_ETM_Q_558343"/>
      <w:bookmarkStart w:id="604" w:name="_ETM_Q_557399"/>
      <w:bookmarkStart w:id="605" w:name="_ETM_Q_557104"/>
      <w:bookmarkStart w:id="606" w:name="_ETM_Q_558342"/>
      <w:bookmarkStart w:id="607" w:name="_ETM_Q_559910"/>
      <w:bookmarkStart w:id="608" w:name="_ETM_Q_563048"/>
      <w:bookmarkStart w:id="609" w:name="_ETM_Q_565553"/>
      <w:bookmarkStart w:id="610" w:name="_ETM_Q_565235"/>
      <w:bookmarkStart w:id="611" w:name="_ETM_Q_575584"/>
      <w:bookmarkStart w:id="612" w:name="_ETM_Q_579344"/>
      <w:bookmarkStart w:id="613" w:name="_ETM_Q_577776"/>
      <w:bookmarkStart w:id="614" w:name="_ETM_Q_578091"/>
      <w:bookmarkStart w:id="615" w:name="_ETM_Q_579658"/>
      <w:bookmarkStart w:id="616" w:name="_ETM_Q_577463"/>
      <w:bookmarkStart w:id="617" w:name="_ETM_Q_580600"/>
      <w:bookmarkStart w:id="618" w:name="_ETM_Q_584670"/>
      <w:bookmarkStart w:id="619" w:name="_ETM_Q_581850"/>
      <w:bookmarkStart w:id="620" w:name="_ETM_Q_582794"/>
      <w:bookmarkStart w:id="621" w:name="_ETM_Q_588435"/>
      <w:bookmarkStart w:id="622" w:name="_ETM_Q_589689"/>
      <w:bookmarkStart w:id="623" w:name="_ETM_Q_590001"/>
      <w:bookmarkStart w:id="624" w:name="_ETM_Q_592515"/>
      <w:bookmarkStart w:id="625" w:name="_ETM_Q_595645"/>
      <w:bookmarkStart w:id="626" w:name="_ETM_Q_597525"/>
      <w:bookmarkStart w:id="627" w:name="_ETM_Q_600034"/>
      <w:bookmarkStart w:id="628" w:name="_ETM_Q_600975"/>
      <w:bookmarkStart w:id="629" w:name="_ETM_Q_603165"/>
      <w:bookmarkStart w:id="630" w:name="_ETM_Q_600137"/>
      <w:bookmarkStart w:id="631" w:name="_ETM_Q_602643"/>
      <w:bookmarkStart w:id="632" w:name="_ETM_Q_605157"/>
      <w:bookmarkStart w:id="633" w:name="_ETM_Q_606722"/>
      <w:bookmarkStart w:id="634" w:name="_ETM_Q_611109"/>
      <w:bookmarkStart w:id="635" w:name="_ETM_Q_616751"/>
      <w:bookmarkStart w:id="636" w:name="_ETM_Q_617066"/>
      <w:bookmarkStart w:id="637" w:name="_ETM_Q_622078"/>
      <w:bookmarkStart w:id="638" w:name="_ETM_Q_624274"/>
      <w:bookmarkStart w:id="639" w:name="_ETM_Q_626786"/>
      <w:bookmarkStart w:id="640" w:name="_ETM_Q_630228"/>
      <w:bookmarkStart w:id="641" w:name="_ETM_Q_638382"/>
      <w:bookmarkStart w:id="642" w:name="_ETM_Q_646533"/>
      <w:bookmarkStart w:id="643" w:name="_ETM_Q_645591"/>
      <w:bookmarkStart w:id="644" w:name="_ETM_Q_647155"/>
      <w:bookmarkStart w:id="645" w:name="_ETM_Q_644335"/>
      <w:bookmarkStart w:id="646" w:name="_ETM_Q_648724"/>
      <w:bookmarkStart w:id="647" w:name="_ETM_Q_650606"/>
      <w:bookmarkStart w:id="648" w:name="_ETM_Q_648111"/>
      <w:bookmarkStart w:id="649" w:name="_ETM_Q_654057"/>
      <w:bookmarkStart w:id="650" w:name="_ETM_Q_651860"/>
      <w:bookmarkStart w:id="651" w:name="_ETM_Q_654678"/>
      <w:bookmarkStart w:id="652" w:name="_ETM_Q_653533"/>
      <w:bookmarkStart w:id="653" w:name="_ETM_Q_655723"/>
      <w:bookmarkStart w:id="654" w:name="_ETM_Q_657919"/>
      <w:bookmarkStart w:id="655" w:name="_ETM_Q_654488"/>
      <w:bookmarkStart w:id="656" w:name="_ETM_Q_656042"/>
      <w:bookmarkStart w:id="657" w:name="_ETM_Q_661055"/>
      <w:bookmarkStart w:id="658" w:name="_ETM_Q_668581"/>
      <w:bookmarkStart w:id="659" w:name="_ETM_Q_678607"/>
      <w:bookmarkStart w:id="660" w:name="_ETM_Q_680177"/>
      <w:bookmarkStart w:id="661" w:name="_ETM_Q_682372"/>
      <w:bookmarkStart w:id="662" w:name="_ETM_Q_684253"/>
      <w:bookmarkStart w:id="663" w:name="_ETM_Q_685192"/>
      <w:bookmarkStart w:id="664" w:name="_ETM_Q_688638"/>
      <w:bookmarkStart w:id="665" w:name="_ETM_Q_689583"/>
      <w:bookmarkStart w:id="666" w:name="_ETM_Q_691772"/>
      <w:bookmarkStart w:id="667" w:name="_ETM_Q_695539"/>
      <w:bookmarkStart w:id="668" w:name="_ETM_Q_691669"/>
      <w:bookmarkStart w:id="669" w:name="_ETM_Q_692297"/>
      <w:bookmarkStart w:id="670" w:name="_ETM_Q_700653"/>
      <w:bookmarkStart w:id="671" w:name="_ETM_Q_702535"/>
      <w:bookmarkStart w:id="672" w:name="_ETM_Q_703161"/>
      <w:bookmarkStart w:id="673" w:name="_ETM_Q_706299"/>
      <w:bookmarkStart w:id="674" w:name="_ETM_Q_707865"/>
      <w:bookmarkStart w:id="675" w:name="_ETM_Q_706300"/>
      <w:bookmarkStart w:id="676" w:name="_ETM_Q_711000"/>
      <w:bookmarkStart w:id="677" w:name="_ETM_Q_717268"/>
      <w:bookmarkStart w:id="678" w:name="_ETM_Q_732630"/>
      <w:bookmarkStart w:id="679" w:name="_ETM_Q_736394"/>
      <w:bookmarkStart w:id="680" w:name="_ETM_Q_734719"/>
      <w:bookmarkStart w:id="681" w:name="_ETM_Q_738800"/>
      <w:bookmarkStart w:id="682" w:name="_ETM_Q_740674"/>
      <w:bookmarkStart w:id="683" w:name="_ETM_Q_744755"/>
      <w:bookmarkStart w:id="684" w:name="_ETM_Q_750709"/>
      <w:bookmarkStart w:id="685" w:name="_ETM_Q_751959"/>
      <w:bookmarkStart w:id="686" w:name="_ETM_Q_753842"/>
      <w:bookmarkStart w:id="687" w:name="_ETM_Q_754785"/>
      <w:bookmarkStart w:id="688" w:name="_ETM_Q_757604"/>
      <w:bookmarkStart w:id="689" w:name="_ETM_Q_754782"/>
      <w:bookmarkStart w:id="690" w:name="_ETM_Q_757293"/>
      <w:bookmarkStart w:id="691" w:name="_ETM_Q_758229"/>
      <w:bookmarkStart w:id="692" w:name="_ETM_Q_756993"/>
      <w:bookmarkStart w:id="693" w:name="_ETM_Q_759482"/>
      <w:bookmarkStart w:id="694" w:name="_ETM_Q_762932"/>
      <w:bookmarkStart w:id="695" w:name="_ETM_Q_759814"/>
      <w:bookmarkStart w:id="696" w:name="_ETM_Q_761993"/>
      <w:bookmarkStart w:id="697" w:name="_ETM_Q_763888"/>
      <w:bookmarkStart w:id="698" w:name="_ETM_Q_772440"/>
      <w:bookmarkStart w:id="699" w:name="_ETM_Q_772548"/>
      <w:bookmarkStart w:id="700" w:name="_ETM_Q_777872"/>
      <w:bookmarkStart w:id="701" w:name="_ETM_Q_777041"/>
      <w:bookmarkStart w:id="702" w:name="_ETM_Q_783623"/>
      <w:bookmarkStart w:id="703" w:name="_ETM_Q_786128"/>
      <w:bookmarkStart w:id="704" w:name="_ETM_Q_784878"/>
      <w:bookmarkStart w:id="705" w:name="_ETM_Q_785503"/>
      <w:bookmarkStart w:id="706" w:name="_ETM_Q_787069"/>
      <w:bookmarkStart w:id="707" w:name="_ETM_Q_787382"/>
      <w:bookmarkStart w:id="708" w:name="_ETM_Q_791459"/>
      <w:bookmarkStart w:id="709" w:name="_ETM_Q_790202"/>
      <w:bookmarkStart w:id="710" w:name="_ETM_Q_790515"/>
      <w:bookmarkStart w:id="711" w:name="_ETM_Q_793341"/>
      <w:bookmarkStart w:id="712" w:name="_ETM_Q_798352"/>
      <w:bookmarkStart w:id="713" w:name="_ETM_Q_795531"/>
      <w:bookmarkStart w:id="714" w:name="_ETM_Q_810891"/>
      <w:bookmarkStart w:id="715" w:name="_ETM_Q_811521"/>
      <w:bookmarkStart w:id="716" w:name="_ETM_Q_812145"/>
      <w:bookmarkStart w:id="717" w:name="_ETM_Q_813398"/>
      <w:bookmarkStart w:id="718" w:name="_ETM_Q_814969"/>
      <w:bookmarkStart w:id="719" w:name="_ETM_Q_815280"/>
      <w:bookmarkStart w:id="720" w:name="_ETM_Q_819355"/>
      <w:bookmarkStart w:id="721" w:name="_ETM_Q_822177"/>
      <w:bookmarkStart w:id="722" w:name="_ETM_Q_824690"/>
      <w:bookmarkStart w:id="723" w:name="_ETM_Q_829389"/>
      <w:bookmarkStart w:id="724" w:name="_ETM_Q_829076"/>
      <w:bookmarkStart w:id="725" w:name="_ETM_Q_833466"/>
      <w:bookmarkStart w:id="726" w:name="_ETM_Q_845691"/>
      <w:bookmarkStart w:id="727" w:name="_ETM_Q_846626"/>
      <w:bookmarkStart w:id="728" w:name="_ETM_Q_847571"/>
      <w:bookmarkStart w:id="729" w:name="_ETM_Q_851332"/>
      <w:bookmarkStart w:id="730" w:name="_ETM_Q_853524"/>
      <w:bookmarkStart w:id="731" w:name="_ETM_Q_857286"/>
      <w:bookmarkStart w:id="732" w:name="_ETM_Q_855826"/>
      <w:bookmarkStart w:id="733" w:name="_ETM_Q_857078"/>
      <w:bookmarkStart w:id="734" w:name="_ETM_Q_858333"/>
      <w:bookmarkStart w:id="735" w:name="_ETM_Q_863659"/>
      <w:bookmarkStart w:id="736" w:name="_ETM_Q_864599"/>
      <w:bookmarkStart w:id="737" w:name="_ETM_Q_869301"/>
      <w:bookmarkStart w:id="738" w:name="_ETM_Q_869932"/>
      <w:bookmarkStart w:id="739" w:name="_ETM_Q_867736"/>
      <w:bookmarkStart w:id="740" w:name="_ETM_Q_887485"/>
      <w:bookmarkStart w:id="741" w:name="_ETM_Q_886230"/>
      <w:bookmarkStart w:id="742" w:name="_ETM_Q_889050"/>
      <w:bookmarkStart w:id="743" w:name="_ETM_Q_888440"/>
      <w:bookmarkStart w:id="744" w:name="_ETM_Q_890307"/>
      <w:bookmarkStart w:id="745" w:name="_ETM_Q_899081"/>
      <w:bookmarkStart w:id="746" w:name="_ETM_Q_900025"/>
      <w:bookmarkStart w:id="747" w:name="_ETM_Q_909112"/>
      <w:bookmarkStart w:id="748" w:name="_ETM_Q_910054"/>
      <w:bookmarkStart w:id="749" w:name="_ETM_Q_913502"/>
      <w:bookmarkStart w:id="750" w:name="_ETM_Q_910678"/>
      <w:bookmarkStart w:id="751" w:name="_ETM_Q_912877"/>
      <w:bookmarkStart w:id="752" w:name="_ETM_Q_913817"/>
      <w:bookmarkStart w:id="753" w:name="_ETM_Q_926983"/>
      <w:bookmarkStart w:id="754" w:name="_ETM_Q_927611"/>
      <w:bookmarkStart w:id="755" w:name="_ETM_Q_927294"/>
      <w:bookmarkStart w:id="756" w:name="_ETM_Q_930115"/>
      <w:bookmarkStart w:id="757" w:name="_ETM_Q_934191"/>
      <w:bookmarkStart w:id="758" w:name="_ETM_Q_933265"/>
      <w:bookmarkStart w:id="759" w:name="_ETM_Q_934193"/>
      <w:bookmarkStart w:id="760" w:name="_ETM_Q_939518"/>
      <w:bookmarkStart w:id="761" w:name="_ETM_Q_944848"/>
      <w:bookmarkStart w:id="762" w:name="_ETM_Q_946105"/>
      <w:bookmarkStart w:id="763" w:name="_ETM_Q_959269"/>
      <w:bookmarkStart w:id="764" w:name="_ETM_Q_961148"/>
      <w:bookmarkStart w:id="765" w:name="_ETM_Q_959584"/>
      <w:bookmarkStart w:id="766" w:name="_ETM_Q_963659"/>
      <w:bookmarkStart w:id="767" w:name="_ETM_Q_965853"/>
      <w:bookmarkStart w:id="768" w:name="_ETM_Q_968044"/>
      <w:bookmarkStart w:id="769" w:name="_ETM_Q_969300"/>
      <w:bookmarkStart w:id="770" w:name="_ETM_Q_975569"/>
      <w:bookmarkStart w:id="771" w:name="_ETM_Q_1002528"/>
      <w:bookmarkStart w:id="772" w:name="_ETM_Q_1003158"/>
      <w:bookmarkStart w:id="773" w:name="_ETM_Q_1013501"/>
      <w:bookmarkStart w:id="774" w:name="_ETM_Q_1015694"/>
      <w:bookmarkStart w:id="775" w:name="_ETM_Q_1017576"/>
      <w:bookmarkStart w:id="776" w:name="_ETM_Q_1018829"/>
      <w:bookmarkStart w:id="777" w:name="_ETM_Q_1019456"/>
      <w:bookmarkStart w:id="778" w:name="_ETM_Q_1025724"/>
      <w:bookmarkStart w:id="779" w:name="_ETM_Q_1027603"/>
      <w:bookmarkStart w:id="780" w:name="_ETM_Q_1030112"/>
      <w:bookmarkStart w:id="781" w:name="_ETM_Q_1031056"/>
      <w:bookmarkStart w:id="782" w:name="_ETM_Q_1032936"/>
      <w:bookmarkStart w:id="783" w:name="_ETM_Q_1033873"/>
      <w:bookmarkStart w:id="784" w:name="_ETM_Q_1038264"/>
      <w:bookmarkStart w:id="785" w:name="_ETM_Q_1041084"/>
      <w:bookmarkStart w:id="786" w:name="_ETM_Q_1044219"/>
      <w:bookmarkStart w:id="787" w:name="_ETM_Q_1045787"/>
      <w:bookmarkStart w:id="788" w:name="_ETM_Q_1047666"/>
      <w:bookmarkStart w:id="789" w:name="_ETM_Q_1065534"/>
      <w:bookmarkStart w:id="790" w:name="_ETM_Q_1065533"/>
      <w:bookmarkStart w:id="791" w:name="_ETM_Q_1070971"/>
      <w:bookmarkStart w:id="792" w:name="_ETM_Q_1074102"/>
      <w:bookmarkStart w:id="793" w:name="_ETM_Q_1077863"/>
      <w:bookmarkStart w:id="794" w:name="_ETM_Q_1079121"/>
      <w:bookmarkStart w:id="795" w:name="_ETM_Q_1084135"/>
      <w:bookmarkStart w:id="796" w:name="_ETM_Q_1086328"/>
      <w:bookmarkStart w:id="797" w:name="_ETM_Q_1084553"/>
      <w:bookmarkStart w:id="798" w:name="_ETM_Q_1088628"/>
      <w:bookmarkStart w:id="799" w:name="_ETM_Q_1095211"/>
      <w:bookmarkStart w:id="800" w:name="_ETM_Q_1098343"/>
      <w:bookmarkStart w:id="801" w:name="_ETM_Q_1100852"/>
      <w:bookmarkStart w:id="802" w:name="_ETM_Q_1118407"/>
      <w:bookmarkStart w:id="803" w:name="_ETM_Q_1124988"/>
      <w:bookmarkStart w:id="804" w:name="_ETM_Q_1147876"/>
      <w:bookmarkStart w:id="805" w:name="_ETM_Q_1147560"/>
      <w:bookmarkStart w:id="806" w:name="_ETM_Q_1149129"/>
      <w:bookmarkStart w:id="807" w:name="_ETM_Q_1154145"/>
      <w:bookmarkStart w:id="808" w:name="_ETM_Q_1156022"/>
      <w:bookmarkStart w:id="809" w:name="_ETM_Q_1155083"/>
      <w:bookmarkStart w:id="810" w:name="_ETM_Q_1157592"/>
      <w:bookmarkStart w:id="811" w:name="_ETM_Q_1165113"/>
      <w:bookmarkStart w:id="812" w:name="_ETM_Q_1163857"/>
      <w:bookmarkStart w:id="813" w:name="_ETM_Q_1164485"/>
      <w:bookmarkStart w:id="814" w:name="_ETM_Q_1164798"/>
      <w:bookmarkStart w:id="815" w:name="_ETM_Q_1163238"/>
      <w:bookmarkStart w:id="816" w:name="_ETM_Q_1164488"/>
      <w:bookmarkStart w:id="817" w:name="_ETM_Q_1165738"/>
      <w:bookmarkStart w:id="818" w:name="_ETM_Q_1165440"/>
      <w:bookmarkStart w:id="819" w:name="_ETM_Q_1168246"/>
      <w:bookmarkStart w:id="820" w:name="_ETM_Q_1166678"/>
      <w:bookmarkStart w:id="821" w:name="_ETM_Q_1169187"/>
      <w:bookmarkStart w:id="822" w:name="_ETM_Q_1166997"/>
      <w:bookmarkStart w:id="823" w:name="_ETM_Q_1171489"/>
      <w:bookmarkStart w:id="824" w:name="_ETM_Q_1173682"/>
      <w:bookmarkStart w:id="825" w:name="_ETM_Q_1173479"/>
      <w:bookmarkStart w:id="826" w:name="_ETM_Q_1179427"/>
      <w:bookmarkStart w:id="827" w:name="_ETM_Q_1180995"/>
      <w:bookmarkStart w:id="828" w:name="_ETM_Q_1182877"/>
      <w:bookmarkStart w:id="829" w:name="_ETM_Q_1186013"/>
      <w:bookmarkStart w:id="830" w:name="_ETM_Q_1187265"/>
      <w:bookmarkStart w:id="831" w:name="_ETM_Q_1184132"/>
      <w:bookmarkStart w:id="832" w:name="_ETM_Q_1184760"/>
      <w:bookmarkStart w:id="833" w:name="_ETM_Q_1192908"/>
      <w:bookmarkStart w:id="834" w:name="_ETM_Q_1193533"/>
      <w:bookmarkStart w:id="835" w:name="_ETM_Q_1192910"/>
      <w:bookmarkStart w:id="836" w:name="_ETM_Q_1193850"/>
      <w:bookmarkStart w:id="837" w:name="_ETM_Q_1195101"/>
      <w:bookmarkStart w:id="838" w:name="_ETM_Q_1196985"/>
      <w:bookmarkStart w:id="839" w:name="_ETM_Q_1203567"/>
      <w:bookmarkStart w:id="840" w:name="_ETM_Q_1200747"/>
      <w:bookmarkStart w:id="841" w:name="_ETM_Q_1206390"/>
      <w:bookmarkStart w:id="842" w:name="_ETM_Q_1207954"/>
      <w:bookmarkStart w:id="843" w:name="_ETM_Q_1212341"/>
      <w:bookmarkStart w:id="844" w:name="_ETM_Q_1216104"/>
      <w:bookmarkStart w:id="845" w:name="_ETM_Q_1218926"/>
      <w:bookmarkStart w:id="846" w:name="_ETM_Q_1218614"/>
      <w:bookmarkStart w:id="847" w:name="_ETM_Q_1218199"/>
      <w:bookmarkStart w:id="848" w:name="_ETM_Q_1218823"/>
      <w:bookmarkStart w:id="849" w:name="_ETM_Q_1221642"/>
      <w:bookmarkStart w:id="850" w:name="_ETM_Q_1223209"/>
      <w:bookmarkStart w:id="851" w:name="_ETM_Q_1224461"/>
      <w:bookmarkStart w:id="852" w:name="_ETM_Q_1223207"/>
      <w:bookmarkStart w:id="853" w:name="_ETM_Q_1225404"/>
      <w:bookmarkStart w:id="854" w:name="_ETM_Q_1227598"/>
      <w:bookmarkStart w:id="855" w:name="_ETM_Q_1230108"/>
      <w:bookmarkStart w:id="856" w:name="_ETM_Q_1229482"/>
      <w:bookmarkStart w:id="857" w:name="_ETM_Q_1230105"/>
      <w:bookmarkStart w:id="858" w:name="_ETM_Q_1235751"/>
      <w:bookmarkStart w:id="859" w:name="_ETM_Q_1236687"/>
      <w:bookmarkStart w:id="860" w:name="_ETM_Q_1238258"/>
      <w:bookmarkStart w:id="861" w:name="_ETM_Q_1243273"/>
      <w:bookmarkStart w:id="862" w:name="_ETM_Q_1247032"/>
      <w:bookmarkStart w:id="863" w:name="_ETM_Q_1247666"/>
      <w:bookmarkStart w:id="864" w:name="_ETM_Q_1248913"/>
      <w:bookmarkStart w:id="865" w:name="_ETM_Q_1252051"/>
      <w:bookmarkStart w:id="866" w:name="_ETM_Q_1252362"/>
      <w:bookmarkStart w:id="867" w:name="_ETM_Q_1260514"/>
      <w:bookmarkStart w:id="868" w:name="_ETM_Q_1258422"/>
      <w:bookmarkStart w:id="869" w:name="_ETM_Q_1262498"/>
      <w:bookmarkStart w:id="870" w:name="_ETM_Q_1263754"/>
      <w:bookmarkStart w:id="871" w:name="_ETM_Q_1266885"/>
      <w:bookmarkStart w:id="872" w:name="_ETM_Q_1270338"/>
      <w:bookmarkStart w:id="873" w:name="_ETM_Q_1273469"/>
      <w:bookmarkStart w:id="874" w:name="_ETM_Q_1286949"/>
      <w:bookmarkStart w:id="875" w:name="_ETM_Q_1289455"/>
      <w:bookmarkStart w:id="876" w:name="_ETM_Q_1290399"/>
      <w:bookmarkStart w:id="877" w:name="_ETM_Q_1292275"/>
      <w:bookmarkStart w:id="878" w:name="_ETM_Q_1294783"/>
      <w:bookmarkStart w:id="879" w:name="_ETM_Q_1296979"/>
      <w:bookmarkStart w:id="880" w:name="_ETM_Q_1293843"/>
      <w:bookmarkStart w:id="881" w:name="_ETM_Q_1315786"/>
      <w:bookmarkStart w:id="882" w:name="_ETM_Q_1317668"/>
      <w:bookmarkStart w:id="883" w:name="_ETM_Q_1318294"/>
      <w:bookmarkStart w:id="884" w:name="_ETM_Q_1320179"/>
      <w:bookmarkStart w:id="885" w:name="_ETM_Q_1324884"/>
      <w:bookmarkStart w:id="886" w:name="_ETM_Q_1328013"/>
      <w:bookmarkStart w:id="887" w:name="_ETM_Q_1342327"/>
      <w:bookmarkStart w:id="888" w:name="_ETM_Q_1343267"/>
      <w:bookmarkStart w:id="889" w:name="_ETM_Q_1346717"/>
      <w:bookmarkStart w:id="890" w:name="_ETM_Q_1348596"/>
      <w:bookmarkStart w:id="891" w:name="_ETM_Q_1355807"/>
      <w:bookmarkStart w:id="892" w:name="_ETM_Q_1357372"/>
      <w:bookmarkStart w:id="893" w:name="_ETM_Q_1359572"/>
      <w:bookmarkStart w:id="894" w:name="_ETM_Q_1360197"/>
      <w:bookmarkStart w:id="895" w:name="_ETM_Q_1370861"/>
      <w:bookmarkStart w:id="896" w:name="_ETM_Q_1371798"/>
      <w:bookmarkStart w:id="897" w:name="_ETM_Q_1379006"/>
      <w:bookmarkStart w:id="898" w:name="_ETM_Q_1381827"/>
      <w:bookmarkStart w:id="899" w:name="_ETM_Q_1382871"/>
      <w:bookmarkStart w:id="900" w:name="_ETM_Q_1385377"/>
      <w:bookmarkStart w:id="901" w:name="_ETM_Q_1396661"/>
      <w:bookmarkStart w:id="902" w:name="_ETM_Q_1393215"/>
      <w:bookmarkStart w:id="903" w:name="_ETM_Q_1398544"/>
      <w:bookmarkStart w:id="904" w:name="_ETM_Q_1401363"/>
      <w:bookmarkStart w:id="905" w:name="_ETM_Q_1402619"/>
      <w:bookmarkStart w:id="906" w:name="_ETM_Q_1404812"/>
      <w:bookmarkStart w:id="907" w:name="_ETM_Q_1408279"/>
      <w:bookmarkStart w:id="908" w:name="_ETM_Q_1415782"/>
      <w:bookmarkStart w:id="909" w:name="_ETM_Q_1415158"/>
      <w:bookmarkStart w:id="910" w:name="_ETM_Q_1418918"/>
      <w:bookmarkStart w:id="911" w:name="_ETM_Q_1425187"/>
      <w:bookmarkStart w:id="912" w:name="_ETM_Q_1428009"/>
      <w:bookmarkStart w:id="913" w:name="_ETM_Q_1428952"/>
      <w:bookmarkStart w:id="914" w:name="_ETM_Q_1433651"/>
      <w:bookmarkStart w:id="915" w:name="_ETM_Q_1434596"/>
      <w:bookmarkStart w:id="916" w:name="_ETM_Q_1438048"/>
      <w:bookmarkStart w:id="917" w:name="_ETM_Q_1444309"/>
      <w:bookmarkStart w:id="918" w:name="_ETM_Q_1440254"/>
      <w:bookmarkStart w:id="919" w:name="_ETM_Q_1443684"/>
      <w:bookmarkStart w:id="920" w:name="_ETM_Q_1448700"/>
      <w:bookmarkStart w:id="921" w:name="_ETM_Q_1453399"/>
      <w:bookmarkStart w:id="922" w:name="_ETM_Q_1470956"/>
      <w:bookmarkStart w:id="923" w:name="_ETM_Q_1507007"/>
      <w:bookmarkStart w:id="924" w:name="_ETM_Q_1509827"/>
      <w:bookmarkStart w:id="925" w:name="_ETM_Q_1510767"/>
      <w:bookmarkStart w:id="926" w:name="_ETM_Q_1517352"/>
      <w:bookmarkStart w:id="927" w:name="_ETM_Q_1519542"/>
      <w:bookmarkStart w:id="928" w:name="_ETM_Q_1522052"/>
      <w:bookmarkStart w:id="929" w:name="_ETM_Q_1523308"/>
      <w:bookmarkStart w:id="930" w:name="_ETM_Q_1524247"/>
      <w:bookmarkStart w:id="931" w:name="_ETM_Q_1526750"/>
      <w:bookmarkStart w:id="932" w:name="_ETM_Q_1527378"/>
      <w:bookmarkStart w:id="933" w:name="_ETM_Q_1528322"/>
      <w:bookmarkStart w:id="934" w:name="_ETM_Q_1529887"/>
      <w:bookmarkStart w:id="935" w:name="_ETM_Q_1530827"/>
      <w:bookmarkStart w:id="936" w:name="_ETM_Q_1543681"/>
      <w:bookmarkStart w:id="937" w:name="_ETM_Q_1544305"/>
      <w:bookmarkStart w:id="938" w:name="_ETM_Q_1549639"/>
      <w:bookmarkStart w:id="939" w:name="_ETM_Q_1547131"/>
      <w:bookmarkStart w:id="940" w:name="_ETM_Q_1548382"/>
      <w:bookmarkStart w:id="941" w:name="_ETM_Q_1549322"/>
      <w:bookmarkStart w:id="942" w:name="_ETM_Q_1554337"/>
      <w:bookmarkStart w:id="943" w:name="_ETM_Q_1556531"/>
      <w:bookmarkStart w:id="944" w:name="_ETM_Q_1557784"/>
      <w:bookmarkStart w:id="945" w:name="_ETM_Q_1561549"/>
      <w:bookmarkStart w:id="946" w:name="_ETM_Q_1565312"/>
      <w:bookmarkStart w:id="947" w:name="_ETM_Q_1566566"/>
      <w:bookmarkStart w:id="948" w:name="_ETM_Q_1567816"/>
      <w:bookmarkStart w:id="949" w:name="_ETM_Q_1570009"/>
      <w:bookmarkStart w:id="950" w:name="_ETM_Q_1572205"/>
      <w:bookmarkStart w:id="951" w:name="_ETM_Q_1572832"/>
      <w:bookmarkStart w:id="952" w:name="_ETM_Q_1579417"/>
      <w:bookmarkStart w:id="953" w:name="_ETM_Q_1580045"/>
      <w:bookmarkStart w:id="954" w:name="_ETM_Q_1587566"/>
      <w:bookmarkStart w:id="955" w:name="_ETM_Q_1581607"/>
      <w:bookmarkStart w:id="956" w:name="_ETM_Q_1587569"/>
      <w:bookmarkStart w:id="957" w:name="_ETM_Q_1588819"/>
      <w:bookmarkStart w:id="958" w:name="_ETM_Q_1587253"/>
      <w:bookmarkStart w:id="959" w:name="_ETM_Q_1589132"/>
      <w:bookmarkStart w:id="960" w:name="_ETM_Q_1597912"/>
      <w:bookmarkStart w:id="961" w:name="_ETM_Q_1600106"/>
      <w:bookmarkStart w:id="962" w:name="_ETM_Q_1601357"/>
      <w:bookmarkStart w:id="963" w:name="_ETM_Q_1603760"/>
      <w:bookmarkStart w:id="964" w:name="_ETM_Q_1604701"/>
      <w:bookmarkStart w:id="965" w:name="_ETM_Q_1605958"/>
      <w:bookmarkStart w:id="966" w:name="_ETM_Q_1609405"/>
      <w:bookmarkStart w:id="967" w:name="_ETM_Q_1609512"/>
      <w:bookmarkStart w:id="968" w:name="_ETM_Q_1611407"/>
      <w:bookmarkStart w:id="969" w:name="_ETM_Q_1612850"/>
      <w:bookmarkStart w:id="970" w:name="_ETM_Q_1615676"/>
      <w:bookmarkStart w:id="971" w:name="_ETM_Q_1619127"/>
      <w:bookmarkStart w:id="972" w:name="_ETM_Q_1619747"/>
      <w:bookmarkStart w:id="973" w:name="_ETM_Q_1632285"/>
      <w:bookmarkStart w:id="974" w:name="_ETM_Q_1643265"/>
      <w:bookmarkStart w:id="975" w:name="_ETM_Q_1644515"/>
      <w:bookmarkStart w:id="976" w:name="_ETM_Q_1645141"/>
      <w:bookmarkStart w:id="977" w:name="_ETM_Q_1646080"/>
      <w:bookmarkStart w:id="978" w:name="_ETM_Q_1648900"/>
      <w:bookmarkStart w:id="979" w:name="_ETM_Q_1653290"/>
      <w:bookmarkStart w:id="980" w:name="_ETM_Q_1656109"/>
      <w:bookmarkStart w:id="981" w:name="_ETM_Q_1661022"/>
      <w:bookmarkStart w:id="982" w:name="_ETM_Q_1687356"/>
      <w:bookmarkStart w:id="983" w:name="_ETM_Q_1688291"/>
      <w:bookmarkStart w:id="984" w:name="_ETM_Q_1691431"/>
      <w:bookmarkStart w:id="985" w:name="_ETM_Q_1692681"/>
      <w:bookmarkStart w:id="986" w:name="_ETM_Q_1695191"/>
      <w:bookmarkStart w:id="987" w:name="_ETM_Q_1696131"/>
      <w:bookmarkStart w:id="988" w:name="_ETM_Q_1702084"/>
      <w:bookmarkStart w:id="989" w:name="_ETM_Q_1703342"/>
      <w:bookmarkStart w:id="990" w:name="_ETM_Q_1705532"/>
      <w:bookmarkStart w:id="991" w:name="_ETM_Q_1707101"/>
      <w:bookmarkStart w:id="992" w:name="_ETM_Q_1713682"/>
      <w:bookmarkStart w:id="993" w:name="_ETM_Q_1714623"/>
      <w:bookmarkStart w:id="994" w:name="_ETM_Q_1715881"/>
      <w:bookmarkStart w:id="995" w:name="_ETM_Q_1716823"/>
      <w:bookmarkStart w:id="996" w:name="_ETM_Q_1717446"/>
      <w:bookmarkStart w:id="997" w:name="_ETM_Q_1720581"/>
      <w:bookmarkStart w:id="998" w:name="_ETM_Q_1720791"/>
      <w:bookmarkStart w:id="999" w:name="_ETM_Q_1722361"/>
      <w:bookmarkStart w:id="1000" w:name="_ETM_Q_1726750"/>
      <w:bookmarkStart w:id="1001" w:name="_ETM_Q_1728311"/>
      <w:bookmarkStart w:id="1002" w:name="_ETM_Q_1738344"/>
      <w:bookmarkStart w:id="1003" w:name="_ETM_Q_1739911"/>
      <w:bookmarkStart w:id="1004" w:name="_ETM_Q_1744929"/>
      <w:bookmarkStart w:id="1005" w:name="_ETM_Q_1753078"/>
      <w:bookmarkStart w:id="1006" w:name="_ETM_Q_1765304"/>
      <w:bookmarkStart w:id="1007" w:name="_ETM_Q_1765927"/>
      <w:bookmarkStart w:id="1008" w:name="_ETM_Q_1793515"/>
      <w:bookmarkStart w:id="1009" w:name="_ETM_Q_1790085"/>
      <w:bookmarkStart w:id="1010" w:name="_ETM_Q_1797274"/>
      <w:bookmarkStart w:id="1011" w:name="_ETM_Q_1793535"/>
      <w:bookmarkStart w:id="1012" w:name="_ETM_Q_1671366"/>
      <w:bookmarkStart w:id="1013" w:name="_ETM_Q_1671682"/>
      <w:bookmarkStart w:id="1014" w:name="_ETM_Q_1677633"/>
      <w:bookmarkStart w:id="1015" w:name="_ETM_Q_14891"/>
      <w:bookmarkStart w:id="1016" w:name="_ETM_Q_16144"/>
      <w:bookmarkStart w:id="1017" w:name="_ETM_Q_26487"/>
      <w:bookmarkStart w:id="1018" w:name="_ETM_Q_25236"/>
      <w:bookmarkStart w:id="1019" w:name="_ETM_Q_25861"/>
      <w:bookmarkStart w:id="1020" w:name="_ETM_Q_31192"/>
      <w:bookmarkStart w:id="1021" w:name="_ETM_Q_31715"/>
      <w:bookmarkStart w:id="1022" w:name="_ETM_Q_32342"/>
      <w:bookmarkStart w:id="1023" w:name="_ETM_Q_35475"/>
      <w:bookmarkStart w:id="1024" w:name="_ETM_Q_36412"/>
      <w:bookmarkStart w:id="1025" w:name="_ETM_Q_44878"/>
      <w:bookmarkStart w:id="1026" w:name="_ETM_Q_47697"/>
      <w:bookmarkStart w:id="1027" w:name="_ETM_Q_48639"/>
      <w:bookmarkStart w:id="1028" w:name="_ETM_Q_47701"/>
      <w:bookmarkStart w:id="1029" w:name="_ETM_Q_49270"/>
      <w:bookmarkStart w:id="1030" w:name="_ETM_Q_51361"/>
      <w:bookmarkStart w:id="1031" w:name="_ETM_Q_57942"/>
      <w:bookmarkStart w:id="1032" w:name="_ETM_Q_59825"/>
      <w:bookmarkStart w:id="1033" w:name="_ETM_Q_56584"/>
      <w:bookmarkStart w:id="1034" w:name="_ETM_Q_56997"/>
      <w:bookmarkStart w:id="1035" w:name="_ETM_Q_57937"/>
      <w:bookmarkStart w:id="1036" w:name="_ETM_Q_58883"/>
      <w:bookmarkStart w:id="1037" w:name="_ETM_Q_61072"/>
      <w:bookmarkStart w:id="1038" w:name="_ETM_Q_64835"/>
      <w:bookmarkStart w:id="1039" w:name="_ETM_Q_66716"/>
      <w:bookmarkStart w:id="1040" w:name="_ETM_Q_71108"/>
      <w:bookmarkStart w:id="1041" w:name="_ETM_Q_86256"/>
      <w:bookmarkStart w:id="1042" w:name="_ETM_Q_87199"/>
      <w:bookmarkStart w:id="1043" w:name="_ETM_Q_91277"/>
      <w:bookmarkStart w:id="1044" w:name="_ETM_Q_94092"/>
      <w:bookmarkStart w:id="1045" w:name="_ETM_Q_99736"/>
      <w:bookmarkStart w:id="1046" w:name="_ETM_Q_100676"/>
      <w:bookmarkStart w:id="1047" w:name="_ETM_Q_102036"/>
      <w:bookmarkStart w:id="1048" w:name="_ETM_Q_103286"/>
      <w:bookmarkStart w:id="1049" w:name="_ETM_Q_101201"/>
      <w:bookmarkStart w:id="1050" w:name="_ETM_Q_102453"/>
      <w:bookmarkStart w:id="1051" w:name="_ETM_Q_109662"/>
      <w:bookmarkStart w:id="1052" w:name="_ETM_Q_111542"/>
      <w:bookmarkStart w:id="1053" w:name="_ETM_Q_109141"/>
      <w:bookmarkStart w:id="1054" w:name="_ETM_Q_110078"/>
      <w:bookmarkStart w:id="1055" w:name="_ETM_Q_113527"/>
      <w:bookmarkStart w:id="1056" w:name="_ETM_Q_114467"/>
      <w:bookmarkStart w:id="1057" w:name="_ETM_Q_120112"/>
      <w:bookmarkStart w:id="1058" w:name="_ETM_Q_121996"/>
      <w:bookmarkStart w:id="1059" w:name="_ETM_Q_128785"/>
      <w:bookmarkStart w:id="1060" w:name="_ETM_Q_131294"/>
      <w:bookmarkStart w:id="1061" w:name="_ETM_Q_133379"/>
      <w:bookmarkStart w:id="1062" w:name="_ETM_Q_132439"/>
      <w:bookmarkStart w:id="1063" w:name="_ETM_Q_133383"/>
      <w:bookmarkStart w:id="1064" w:name="_ETM_Q_135470"/>
      <w:bookmarkStart w:id="1065" w:name="_ETM_Q_139860"/>
      <w:bookmarkStart w:id="1066" w:name="_ETM_Q_140490"/>
      <w:bookmarkStart w:id="1067" w:name="_ETM_Q_141425"/>
      <w:bookmarkStart w:id="1068" w:name="_ETM_Q_138500"/>
      <w:bookmarkStart w:id="1069" w:name="_ETM_Q_139439"/>
      <w:bookmarkStart w:id="1070" w:name="_ETM_Q_144457"/>
      <w:bookmarkStart w:id="1071" w:name="_ETM_Q_145397"/>
      <w:bookmarkStart w:id="1072" w:name="_ETM_Q_146653"/>
      <w:bookmarkStart w:id="1073" w:name="_ETM_Q_147591"/>
      <w:bookmarkStart w:id="1074" w:name="_ETM_Q_154487"/>
      <w:bookmarkStart w:id="1075" w:name="_ETM_Q_157939"/>
      <w:bookmarkStart w:id="1076" w:name="_ETM_Q_158877"/>
      <w:bookmarkStart w:id="1077" w:name="_ETM_Q_161697"/>
      <w:bookmarkStart w:id="1078" w:name="_ETM_Q_162433"/>
      <w:bookmarkStart w:id="1079" w:name="_ETM_Q_169324"/>
      <w:bookmarkStart w:id="1080" w:name="_ETM_Q_169012"/>
      <w:bookmarkStart w:id="1081" w:name="_ETM_Q_170267"/>
      <w:bookmarkStart w:id="1082" w:name="_ETM_Q_173712"/>
      <w:bookmarkStart w:id="1083" w:name="_ETM_Q_179671"/>
      <w:bookmarkStart w:id="1084" w:name="_ETM_Q_180928"/>
      <w:bookmarkStart w:id="1085" w:name="_ETM_Q_183747"/>
      <w:bookmarkStart w:id="1086" w:name="_ETM_Q_184372"/>
      <w:bookmarkStart w:id="1087" w:name="_ETM_Q_188763"/>
      <w:bookmarkStart w:id="1088" w:name="_ETM_Q_189391"/>
      <w:bookmarkStart w:id="1089" w:name="_ETM_Q_190328"/>
      <w:bookmarkStart w:id="1090" w:name="_ETM_Q_186776"/>
      <w:bookmarkStart w:id="1091" w:name="_ETM_Q_200257"/>
      <w:bookmarkStart w:id="1092" w:name="_ETM_Q_201507"/>
      <w:bookmarkStart w:id="1093" w:name="_ETM_Q_211748"/>
      <w:bookmarkStart w:id="1094" w:name="_ETM_Q_219272"/>
      <w:bookmarkStart w:id="1095" w:name="_ETM_Q_224292"/>
      <w:bookmarkStart w:id="1096" w:name="_ETM_Q_227107"/>
      <w:bookmarkStart w:id="1097" w:name="_ETM_Q_227739"/>
      <w:bookmarkStart w:id="1098" w:name="_ETM_Q_230872"/>
      <w:bookmarkStart w:id="1099" w:name="_ETM_Q_231497"/>
      <w:bookmarkStart w:id="1100" w:name="_ETM_Q_242159"/>
      <w:bookmarkStart w:id="1101" w:name="_ETM_Q_245602"/>
      <w:bookmarkStart w:id="1102" w:name="_ETM_Q_246542"/>
      <w:bookmarkStart w:id="1103" w:name="_ETM_Q_248109"/>
      <w:bookmarkStart w:id="1104" w:name="_ETM_Q_254697"/>
      <w:bookmarkStart w:id="1105" w:name="_ETM_Q_262843"/>
      <w:bookmarkStart w:id="1106" w:name="_ETM_Q_263471"/>
      <w:bookmarkStart w:id="1107" w:name="_ETM_Q_264414"/>
      <w:bookmarkStart w:id="1108" w:name="_ETM_Q_269428"/>
      <w:bookmarkStart w:id="1109" w:name="_ETM_Q_273187"/>
      <w:bookmarkStart w:id="1110" w:name="_ETM_Q_272771"/>
      <w:bookmarkStart w:id="1111" w:name="_ETM_Q_276847"/>
      <w:bookmarkStart w:id="1112" w:name="_ETM_Q_278101"/>
      <w:bookmarkStart w:id="1113" w:name="_ETM_Q_276426"/>
      <w:bookmarkStart w:id="1114" w:name="_ETM_Q_278935"/>
      <w:bookmarkStart w:id="1115" w:name="_ETM_Q_289280"/>
      <w:bookmarkStart w:id="1116" w:name="_ETM_Q_286874"/>
      <w:bookmarkStart w:id="1117" w:name="_ETM_Q_289593"/>
      <w:bookmarkStart w:id="1118" w:name="_ETM_Q_289803"/>
      <w:bookmarkStart w:id="1119" w:name="_ETM_Q_292623"/>
      <w:bookmarkStart w:id="1120" w:name="_ETM_Q_305684"/>
      <w:bookmarkStart w:id="1121" w:name="_ETM_Q_306941"/>
      <w:bookmarkStart w:id="1122" w:name="_ETM_Q_307877"/>
      <w:bookmarkStart w:id="1123" w:name="_ETM_Q_310074"/>
      <w:bookmarkStart w:id="1124" w:name="_ETM_Q_311330"/>
      <w:bookmarkStart w:id="1125" w:name="_ETM_Q_309134"/>
      <w:bookmarkStart w:id="1126" w:name="_ETM_Q_315402"/>
      <w:bookmarkStart w:id="1127" w:name="_ETM_Q_316342"/>
      <w:bookmarkStart w:id="1128" w:name="_ETM_Q_325432"/>
      <w:bookmarkStart w:id="1129" w:name="_ETM_Q_329509"/>
      <w:bookmarkStart w:id="1130" w:name="_ETM_Q_348944"/>
      <w:bookmarkStart w:id="1131" w:name="_ETM_Q_351454"/>
      <w:bookmarkStart w:id="1132" w:name="_ETM_Q_352394"/>
      <w:bookmarkStart w:id="1133" w:name="_ETM_Q_351764"/>
      <w:bookmarkStart w:id="1134" w:name="_ETM_Q_354897"/>
      <w:bookmarkStart w:id="1135" w:name="_ETM_Q_358346"/>
      <w:bookmarkStart w:id="1136" w:name="_ETM_Q_360228"/>
      <w:bookmarkStart w:id="1137" w:name="_ETM_Q_370257"/>
      <w:bookmarkStart w:id="1138" w:name="_ETM_Q_370262"/>
      <w:bookmarkStart w:id="1139" w:name="_ETM_Q_371202"/>
      <w:bookmarkStart w:id="1140" w:name="_ETM_Q_373707"/>
      <w:bookmarkStart w:id="1141" w:name="_ETM_Q_371722"/>
      <w:bookmarkStart w:id="1142" w:name="_ETM_Q_372663"/>
      <w:bookmarkStart w:id="1143" w:name="_ETM_Q_375486"/>
      <w:bookmarkStart w:id="1144" w:name="_ETM_Q_375797"/>
      <w:bookmarkStart w:id="1145" w:name="_ETM_Q_372556"/>
      <w:bookmarkStart w:id="1146" w:name="_ETM_Q_375377"/>
      <w:bookmarkStart w:id="1147" w:name="_ETM_Q_376840"/>
      <w:bookmarkStart w:id="1148" w:name="_ETM_Q_381546"/>
      <w:bookmarkStart w:id="1149" w:name="_ETM_Q_384992"/>
      <w:bookmarkStart w:id="1150" w:name="_ETM_Q_389065"/>
      <w:bookmarkStart w:id="1151" w:name="_ETM_Q_390847"/>
      <w:bookmarkStart w:id="1152" w:name="_ETM_Q_392725"/>
      <w:bookmarkStart w:id="1153" w:name="_ETM_Q_396173"/>
      <w:bookmarkStart w:id="1154" w:name="_ETM_Q_397432"/>
      <w:bookmarkStart w:id="1155" w:name="_ETM_Q_398681"/>
      <w:bookmarkStart w:id="1156" w:name="_ETM_Q_395230"/>
      <w:bookmarkStart w:id="1157" w:name="_ETM_Q_406517"/>
      <w:bookmarkStart w:id="1158" w:name="_ETM_Q_407145"/>
      <w:bookmarkStart w:id="1159" w:name="_ETM_Q_408085"/>
      <w:bookmarkStart w:id="1160" w:name="_ETM_Q_410907"/>
      <w:bookmarkStart w:id="1161" w:name="_ETM_Q_412474"/>
      <w:bookmarkStart w:id="1162" w:name="_ETM_Q_408920"/>
      <w:bookmarkStart w:id="1163" w:name="_ETM_Q_411433"/>
      <w:bookmarkStart w:id="1164" w:name="_ETM_Q_412996"/>
      <w:bookmarkStart w:id="1165" w:name="_ETM_Q_416760"/>
      <w:bookmarkStart w:id="1166" w:name="_ETM_Q_417383"/>
      <w:bookmarkStart w:id="1167" w:name="_ETM_Q_413834"/>
      <w:bookmarkStart w:id="1168" w:name="_ETM_Q_417910"/>
      <w:bookmarkStart w:id="1169" w:name="_ETM_Q_422299"/>
      <w:bookmarkStart w:id="1170" w:name="_ETM_Q_434940"/>
      <w:bookmarkStart w:id="1171" w:name="_ETM_Q_437759"/>
      <w:bookmarkStart w:id="1172" w:name="_ETM_Q_439326"/>
      <w:bookmarkStart w:id="1173" w:name="_ETM_Q_441208"/>
      <w:bookmarkStart w:id="1174" w:name="_ETM_Q_442462"/>
      <w:bookmarkStart w:id="1175" w:name="_ETM_Q_444968"/>
      <w:bookmarkStart w:id="1176" w:name="_ETM_Q_444027"/>
      <w:bookmarkStart w:id="1177" w:name="_ETM_Q_447164"/>
      <w:bookmarkStart w:id="1178" w:name="_ETM_Q_448416"/>
      <w:bookmarkStart w:id="1179" w:name="_ETM_Q_449356"/>
      <w:bookmarkStart w:id="1180" w:name="_ETM_Q_456881"/>
      <w:bookmarkStart w:id="1181" w:name="_ETM_Q_458765"/>
      <w:bookmarkStart w:id="1182" w:name="_ETM_Q_459706"/>
      <w:bookmarkStart w:id="1183" w:name="_ETM_Q_458466"/>
      <w:bookmarkStart w:id="1184" w:name="_ETM_Q_462212"/>
      <w:bookmarkStart w:id="1185" w:name="_ETM_Q_465344"/>
      <w:bookmarkStart w:id="1186" w:name="_ETM_Q_467542"/>
      <w:bookmarkStart w:id="1187" w:name="_ETM_Q_468167"/>
      <w:bookmarkStart w:id="1188" w:name="_ETM_Q_469106"/>
      <w:bookmarkStart w:id="1189" w:name="_ETM_Q_469732"/>
      <w:bookmarkStart w:id="1190" w:name="_ETM_Q_471926"/>
      <w:bookmarkStart w:id="1191" w:name="_ETM_Q_473496"/>
      <w:bookmarkStart w:id="1192" w:name="_ETM_Q_475687"/>
      <w:bookmarkStart w:id="1193" w:name="_ETM_Q_478196"/>
      <w:bookmarkStart w:id="1194" w:name="_ETM_Q_476019"/>
      <w:bookmarkStart w:id="1195" w:name="_ETM_Q_476943"/>
      <w:bookmarkStart w:id="1196" w:name="_ETM_Q_478827"/>
      <w:bookmarkStart w:id="1197" w:name="_ETM_Q_481962"/>
      <w:bookmarkStart w:id="1198" w:name="_ETM_Q_484467"/>
      <w:bookmarkStart w:id="1199" w:name="_ETM_Q_485093"/>
      <w:bookmarkStart w:id="1200" w:name="_ETM_Q_485722"/>
      <w:bookmarkStart w:id="1201" w:name="_ETM_Q_487290"/>
      <w:bookmarkStart w:id="1202" w:name="_ETM_Q_498889"/>
      <w:bookmarkStart w:id="1203" w:name="_ETM_Q_500142"/>
      <w:bookmarkStart w:id="1204" w:name="_ETM_Q_498781"/>
      <w:bookmarkStart w:id="1205" w:name="_ETM_Q_502231"/>
      <w:bookmarkStart w:id="1206" w:name="_ETM_Q_504738"/>
      <w:bookmarkStart w:id="1207" w:name="_ETM_Q_505262"/>
      <w:bookmarkStart w:id="1208" w:name="_ETM_Q_508084"/>
      <w:bookmarkStart w:id="1209" w:name="_ETM_Q_506722"/>
      <w:bookmarkStart w:id="1210" w:name="_ETM_Q_513622"/>
      <w:bookmarkStart w:id="1211" w:name="_ETM_Q_528040"/>
      <w:bookmarkStart w:id="1212" w:name="_ETM_Q_529292"/>
      <w:bookmarkStart w:id="1213" w:name="_ETM_Q_530546"/>
      <w:bookmarkStart w:id="1214" w:name="_ETM_Q_533053"/>
      <w:bookmarkStart w:id="1215" w:name="_ETM_Q_531490"/>
      <w:bookmarkStart w:id="1216" w:name="_ETM_Q_536503"/>
      <w:bookmarkStart w:id="1217" w:name="_ETM_Q_540262"/>
      <w:bookmarkStart w:id="1218" w:name="_ETM_Q_541207"/>
      <w:bookmarkStart w:id="1219" w:name="_ETM_Q_541830"/>
      <w:bookmarkStart w:id="1220" w:name="_ETM_Q_543712"/>
      <w:bookmarkStart w:id="1221" w:name="_ETM_Q_550190"/>
      <w:bookmarkStart w:id="1222" w:name="_ETM_Q_559280"/>
      <w:bookmarkStart w:id="1223" w:name="_ETM_Q_562730"/>
      <w:bookmarkStart w:id="1224" w:name="_ETM_Q_563987"/>
      <w:bookmarkStart w:id="1225" w:name="_ETM_Q_560639"/>
      <w:bookmarkStart w:id="1226" w:name="_ETM_Q_562205"/>
      <w:bookmarkStart w:id="1227" w:name="_ETM_Q_565655"/>
      <w:bookmarkStart w:id="1228" w:name="_ETM_Q_566595"/>
      <w:bookmarkStart w:id="1229" w:name="_ETM_Q_567226"/>
      <w:bookmarkStart w:id="1230" w:name="_ETM_Q_568165"/>
      <w:bookmarkStart w:id="1231" w:name="_ETM_Q_565340"/>
      <w:bookmarkStart w:id="1232" w:name="_ETM_Q_569420"/>
      <w:bookmarkStart w:id="1233" w:name="_ETM_Q_565669"/>
      <w:bookmarkStart w:id="1234" w:name="_ETM_Q_569104"/>
      <w:bookmarkStart w:id="1235" w:name="_ETM_Q_571924"/>
      <w:bookmarkStart w:id="1236" w:name="_ETM_Q_579657"/>
      <w:bookmarkStart w:id="1237" w:name="_ETM_Q_580599"/>
      <w:bookmarkStart w:id="1238" w:name="_ETM_Q_582167"/>
      <w:bookmarkStart w:id="1239" w:name="_ETM_Q_585928"/>
      <w:bookmarkStart w:id="1240" w:name="_ETM_Q_584357"/>
      <w:bookmarkStart w:id="1241" w:name="_ETM_Q_584988"/>
      <w:bookmarkStart w:id="1242" w:name="_ETM_Q_589060"/>
      <w:bookmarkStart w:id="1243" w:name="_ETM_Q_611631"/>
      <w:bookmarkStart w:id="1244" w:name="_ETM_Q_612572"/>
      <w:bookmarkStart w:id="1245" w:name="_ETM_Q_613200"/>
      <w:bookmarkStart w:id="1246" w:name="_ETM_Q_614768"/>
      <w:bookmarkStart w:id="1247" w:name="_ETM_Q_616648"/>
      <w:bookmarkStart w:id="1248" w:name="_ETM_Q_617899"/>
      <w:bookmarkStart w:id="1249" w:name="_ETM_Q_618527"/>
      <w:bookmarkStart w:id="1250" w:name="_ETM_Q_621347"/>
      <w:bookmarkStart w:id="1251" w:name="_ETM_Q_622291"/>
      <w:bookmarkStart w:id="1252" w:name="_ETM_Q_626993"/>
      <w:bookmarkStart w:id="1253" w:name="_ETM_Q_624690"/>
      <w:bookmarkStart w:id="1254" w:name="_ETM_Q_629081"/>
      <w:bookmarkStart w:id="1255" w:name="_ETM_Q_630024"/>
      <w:bookmarkStart w:id="1256" w:name="_ETM_Q_631900"/>
      <w:bookmarkStart w:id="1257" w:name="_ETM_Q_632527"/>
      <w:bookmarkStart w:id="1258" w:name="_ETM_Q_633469"/>
      <w:bookmarkStart w:id="1259" w:name="_ETM_Q_637649"/>
      <w:bookmarkStart w:id="1260" w:name="_ETM_Q_638903"/>
      <w:bookmarkStart w:id="1261" w:name="_ETM_Q_640472"/>
      <w:bookmarkStart w:id="1262" w:name="_ETM_Q_638594"/>
      <w:bookmarkStart w:id="1263" w:name="_ETM_Q_642351"/>
      <w:bookmarkStart w:id="1264" w:name="_ETM_Q_655204"/>
      <w:bookmarkStart w:id="1265" w:name="_ETM_Q_656141"/>
      <w:bookmarkStart w:id="1266" w:name="_ETM_Q_658026"/>
      <w:bookmarkStart w:id="1267" w:name="_ETM_Q_654594"/>
      <w:bookmarkStart w:id="1268" w:name="_ETM_Q_655519"/>
      <w:bookmarkStart w:id="1269" w:name="_ETM_Q_658963"/>
      <w:bookmarkStart w:id="1270" w:name="_ETM_Q_662729"/>
      <w:bookmarkStart w:id="1271" w:name="_ETM_Q_662727"/>
      <w:bookmarkStart w:id="1272" w:name="_ETM_Q_662517"/>
      <w:bookmarkStart w:id="1273" w:name="_ETM_Q_663459"/>
      <w:bookmarkStart w:id="1274" w:name="_ETM_Q_665024"/>
      <w:bookmarkStart w:id="1275" w:name="_ETM_Q_667848"/>
      <w:bookmarkStart w:id="1276" w:name="_ETM_Q_666175"/>
      <w:bookmarkStart w:id="1277" w:name="_ETM_Q_668684"/>
      <w:bookmarkStart w:id="1278" w:name="_ETM_Q_671087"/>
      <w:bookmarkStart w:id="1279" w:name="_ETM_Q_671612"/>
      <w:bookmarkStart w:id="1280" w:name="_ETM_Q_672865"/>
      <w:bookmarkStart w:id="1281" w:name="_ETM_Q_675995"/>
      <w:bookmarkStart w:id="1282" w:name="_ETM_Q_673697"/>
      <w:bookmarkStart w:id="1283" w:name="_ETM_Q_675580"/>
      <w:bookmarkStart w:id="1284" w:name="_ETM_Q_676221"/>
      <w:bookmarkStart w:id="1285" w:name="_ETM_Q_677776"/>
      <w:bookmarkStart w:id="1286" w:name="_ETM_Q_678085"/>
      <w:bookmarkStart w:id="1287" w:name="_ETM_Q_678105"/>
      <w:bookmarkStart w:id="1288" w:name="_ETM_Q_679969"/>
      <w:bookmarkStart w:id="1289" w:name="_ETM_Q_681847"/>
      <w:bookmarkStart w:id="1290" w:name="_ETM_Q_687073"/>
      <w:bookmarkStart w:id="1291" w:name="_ETM_Q_687702"/>
      <w:bookmarkStart w:id="1292" w:name="_ETM_Q_688641"/>
      <w:bookmarkStart w:id="1293" w:name="_ETM_Q_687909"/>
      <w:bookmarkStart w:id="1294" w:name="_ETM_Q_689164"/>
      <w:bookmarkStart w:id="1295" w:name="_ETM_Q_691044"/>
      <w:bookmarkStart w:id="1296" w:name="_ETM_Q_692614"/>
      <w:bookmarkStart w:id="1297" w:name="_ETM_Q_692196"/>
      <w:bookmarkStart w:id="1298" w:name="_ETM_Q_690834"/>
      <w:bookmarkStart w:id="1299" w:name="_ETM_Q_692087"/>
      <w:bookmarkStart w:id="1300" w:name="_ETM_Q_697730"/>
      <w:bookmarkStart w:id="1301" w:name="_ETM_Q_698359"/>
      <w:bookmarkStart w:id="1302" w:name="_ETM_Q_702118"/>
      <w:bookmarkStart w:id="1303" w:name="_ETM_Q_704003"/>
      <w:bookmarkStart w:id="1304" w:name="_ETM_Q_706509"/>
      <w:bookmarkStart w:id="1305" w:name="_ETM_Q_717165"/>
      <w:bookmarkStart w:id="1306" w:name="_ETM_Q_742244"/>
      <w:bookmarkStart w:id="1307" w:name="_ETM_Q_753840"/>
      <w:bookmarkStart w:id="1308" w:name="_ETM_Q_755093"/>
      <w:bookmarkStart w:id="1309" w:name="_ETM_Q_761365"/>
      <w:bookmarkStart w:id="1310" w:name="_ETM_Q_762304"/>
      <w:bookmarkStart w:id="1311" w:name="_ETM_Q_764815"/>
      <w:bookmarkStart w:id="1312" w:name="_ETM_Q_765751"/>
      <w:bookmarkStart w:id="1313" w:name="_ETM_Q_773905"/>
      <w:bookmarkStart w:id="1314" w:name="_ETM_Q_775785"/>
      <w:bookmarkStart w:id="1315" w:name="_ETM_Q_776410"/>
      <w:bookmarkStart w:id="1316" w:name="_ETM_Q_778605"/>
      <w:bookmarkStart w:id="1317" w:name="_ETM_Q_785815"/>
      <w:bookmarkStart w:id="1318" w:name="_ETM_Q_786757"/>
      <w:bookmarkStart w:id="1319" w:name="_ETM_Q_784249"/>
      <w:bookmarkStart w:id="1320" w:name="_ETM_Q_785501"/>
      <w:bookmarkStart w:id="1321" w:name="_ETM_Q_784038"/>
      <w:bookmarkStart w:id="1322" w:name="_ETM_Q_793756"/>
      <w:bookmarkStart w:id="1323" w:name="_ETM_Q_799402"/>
      <w:bookmarkStart w:id="1324" w:name="_ETM_Q_819459"/>
      <w:bookmarkStart w:id="1325" w:name="_ETM_Q_820401"/>
      <w:bookmarkStart w:id="1326" w:name="_ETM_Q_821969"/>
      <w:bookmarkStart w:id="1327" w:name="_ETM_Q_824791"/>
      <w:bookmarkStart w:id="1328" w:name="_ETM_Q_825417"/>
      <w:bookmarkStart w:id="1329" w:name="_ETM_Q_828867"/>
      <w:bookmarkStart w:id="1330" w:name="_ETM_Q_826356"/>
      <w:bookmarkStart w:id="1331" w:name="_ETM_Q_832001"/>
      <w:bookmarkStart w:id="1332" w:name="_ETM_Q_831375"/>
      <w:bookmarkStart w:id="1333" w:name="_ETM_Q_832000"/>
      <w:bookmarkStart w:id="1334" w:name="_ETM_Q_834510"/>
      <w:bookmarkStart w:id="1335" w:name="_ETM_Q_835760"/>
      <w:bookmarkStart w:id="1336" w:name="_ETM_Q_837645"/>
      <w:bookmarkStart w:id="1337" w:name="_ETM_Q_849555"/>
      <w:bookmarkStart w:id="1338" w:name="_ETM_Q_850182"/>
      <w:bookmarkStart w:id="1339" w:name="_ETM_Q_851121"/>
      <w:bookmarkStart w:id="1340" w:name="_ETM_Q_855824"/>
      <w:bookmarkStart w:id="1341" w:name="_ETM_Q_856763"/>
      <w:bookmarkStart w:id="1342" w:name="_ETM_Q_858332"/>
      <w:bookmarkStart w:id="1343" w:name="_ETM_Q_872437"/>
      <w:bookmarkStart w:id="1344" w:name="_ETM_Q_878083"/>
      <w:bookmarkStart w:id="1345" w:name="_ETM_Q_879645"/>
      <w:bookmarkStart w:id="1346" w:name="_ETM_Q_880277"/>
      <w:bookmarkStart w:id="1347" w:name="_ETM_Q_881842"/>
      <w:bookmarkStart w:id="1348" w:name="_ETM_Q_888741"/>
      <w:bookmarkStart w:id="1349" w:name="_ETM_Q_889990"/>
      <w:bookmarkStart w:id="1350" w:name="_ETM_Q_895945"/>
      <w:bookmarkStart w:id="1351" w:name="_ETM_Q_903160"/>
      <w:bookmarkStart w:id="1352" w:name="_ETM_Q_905037"/>
      <w:bookmarkStart w:id="1353" w:name="_ETM_Q_912246"/>
      <w:bookmarkStart w:id="1354" w:name="_ETM_Q_913503"/>
      <w:bookmarkStart w:id="1355" w:name="_ETM_Q_914132"/>
      <w:bookmarkStart w:id="1356" w:name="_ETM_Q_922280"/>
      <w:bookmarkStart w:id="1357" w:name="_ETM_Q_968675"/>
      <w:bookmarkStart w:id="1358" w:name="_ETM_Q_971180"/>
      <w:bookmarkStart w:id="1359" w:name="_ETM_Q_971807"/>
      <w:bookmarkStart w:id="1360" w:name="_ETM_Q_976199"/>
      <w:bookmarkStart w:id="1361" w:name="_ETM_Q_976826"/>
      <w:bookmarkStart w:id="1362" w:name="_ETM_Q_977768"/>
      <w:bookmarkStart w:id="1363" w:name="_ETM_Q_979330"/>
      <w:bookmarkStart w:id="1364" w:name="_ETM_Q_982465"/>
      <w:bookmarkStart w:id="1365" w:name="_ETM_Q_349882"/>
      <w:bookmarkStart w:id="1366" w:name="_ETM_Q_1009110"/>
      <w:bookmarkStart w:id="1367" w:name="_ETM_Q_1008794"/>
      <w:bookmarkStart w:id="1368" w:name="_ETM_Q_1011302"/>
      <w:bookmarkStart w:id="1369" w:name="_ETM_Q_1012559"/>
      <w:bookmarkStart w:id="1370" w:name="_ETM_Q_1011408"/>
      <w:bookmarkStart w:id="1371" w:name="_ETM_Q_1012979"/>
      <w:bookmarkStart w:id="1372" w:name="_ETM_Q_1016213"/>
      <w:bookmarkStart w:id="1373" w:name="_ETM_Q_1014959"/>
      <w:bookmarkStart w:id="1374" w:name="_ETM_Q_1016844"/>
      <w:bookmarkStart w:id="1375" w:name="_ETM_Q_1015798"/>
      <w:bookmarkStart w:id="1376" w:name="_ETM_Q_1022902"/>
      <w:bookmarkStart w:id="1377" w:name="_ETM_Q_1024468"/>
      <w:bookmarkStart w:id="1378" w:name="_ETM_Q_1026563"/>
      <w:bookmarkStart w:id="1379" w:name="_ETM_Q_1029068"/>
      <w:bookmarkStart w:id="1380" w:name="_ETM_Q_1031261"/>
      <w:bookmarkStart w:id="1381" w:name="_ETM_Q_1028145"/>
      <w:bookmarkStart w:id="1382" w:name="_ETM_Q_1033245"/>
      <w:bookmarkStart w:id="1383" w:name="_ETM_Q_1036278"/>
      <w:bookmarkStart w:id="1384" w:name="_ETM_Q_1039308"/>
      <w:bookmarkStart w:id="1385" w:name="_ETM_Q_1042130"/>
      <w:bookmarkStart w:id="1386" w:name="_ETM_Q_1041291"/>
      <w:bookmarkStart w:id="1387" w:name="_ETM_Q_1039414"/>
      <w:bookmarkStart w:id="1388" w:name="_ETM_Q_1040667"/>
      <w:bookmarkStart w:id="1389" w:name="_ETM_Q_1040039"/>
      <w:bookmarkStart w:id="1390" w:name="_ETM_Q_1048814"/>
      <w:bookmarkStart w:id="1391" w:name="_ETM_Q_1050071"/>
      <w:bookmarkStart w:id="1392" w:name="_ETM_Q_1047668"/>
      <w:bookmarkStart w:id="1393" w:name="_ETM_Q_1053207"/>
      <w:bookmarkStart w:id="1394" w:name="_ETM_Q_1053415"/>
      <w:bookmarkStart w:id="1395" w:name="_ETM_Q_1056027"/>
      <w:bookmarkStart w:id="1396" w:name="_ETM_Q_1054563"/>
      <w:bookmarkStart w:id="1397" w:name="_ETM_Q_1055823"/>
      <w:bookmarkStart w:id="1398" w:name="_ETM_Q_1055099"/>
      <w:bookmarkStart w:id="1399" w:name="_ETM_Q_1056548"/>
      <w:bookmarkStart w:id="1400" w:name="_ETM_Q_1059998"/>
      <w:bookmarkStart w:id="1401" w:name="_ETM_Q_1065643"/>
      <w:bookmarkStart w:id="1402" w:name="_ETM_Q_1062505"/>
      <w:bookmarkStart w:id="1403" w:name="_ETM_Q_1078386"/>
      <w:bookmarkStart w:id="1404" w:name="_ETM_Q_1079639"/>
      <w:bookmarkStart w:id="1405" w:name="_ETM_Q_1082462"/>
      <w:bookmarkStart w:id="1406" w:name="_ETM_Q_1083716"/>
      <w:bookmarkStart w:id="1407" w:name="_ETM_Q_1091971"/>
      <w:bookmarkStart w:id="1408" w:name="_ETM_Q_1093536"/>
      <w:bookmarkStart w:id="1409" w:name="_ETM_Q_1091970"/>
      <w:bookmarkStart w:id="1410" w:name="_ETM_Q_1093539"/>
      <w:bookmarkStart w:id="1411" w:name="_ETM_Q_1096045"/>
      <w:bookmarkStart w:id="1412" w:name="_ETM_Q_1099391"/>
      <w:bookmarkStart w:id="1413" w:name="_ETM_Q_1108792"/>
      <w:bookmarkStart w:id="1414" w:name="_ETM_Q_1122272"/>
      <w:bookmarkStart w:id="1415" w:name="_ETM_Q_1121123"/>
      <w:bookmarkStart w:id="1416" w:name="_ETM_Q_1122379"/>
      <w:bookmarkStart w:id="1417" w:name="_ETM_Q_1128962"/>
      <w:bookmarkStart w:id="1418" w:name="_ETM_Q_1129587"/>
      <w:bookmarkStart w:id="1419" w:name="_ETM_Q_1126975"/>
      <w:bookmarkStart w:id="1420" w:name="_ETM_Q_1129800"/>
      <w:bookmarkStart w:id="1421" w:name="_ETM_Q_1130735"/>
      <w:bookmarkStart w:id="1422" w:name="_ETM_Q_1141400"/>
      <w:bookmarkStart w:id="1423" w:name="_ETM_Q_1143905"/>
      <w:bookmarkStart w:id="1424" w:name="_ETM_Q_1144845"/>
      <w:bookmarkStart w:id="1425" w:name="_ETM_Q_1146725"/>
      <w:bookmarkStart w:id="1426" w:name="_ETM_Q_1148605"/>
      <w:bookmarkStart w:id="1427" w:name="_ETM_Q_1156023"/>
      <w:bookmarkStart w:id="1428" w:name="_ETM_Q_1157276"/>
      <w:bookmarkStart w:id="1429" w:name="_ETM_Q_1159160"/>
      <w:bookmarkStart w:id="1430" w:name="_ETM_Q_1159790"/>
      <w:bookmarkStart w:id="1431" w:name="_ETM_Q_1161667"/>
      <w:bookmarkStart w:id="1432" w:name="_ETM_Q_1159368"/>
      <w:bookmarkStart w:id="1433" w:name="_ETM_Q_1163131"/>
      <w:bookmarkStart w:id="1434" w:name="_ETM_Q_1161576"/>
      <w:bookmarkStart w:id="1435" w:name="_ETM_Q_1163758"/>
      <w:bookmarkStart w:id="1436" w:name="_ETM_Q_1165637"/>
      <w:bookmarkStart w:id="1437" w:name="_ETM_Q_1164593"/>
      <w:bookmarkStart w:id="1438" w:name="_ETM_Q_1168353"/>
      <w:bookmarkStart w:id="1439" w:name="_ETM_Q_1170233"/>
      <w:bookmarkStart w:id="1440" w:name="_ETM_Q_1172115"/>
      <w:bookmarkStart w:id="1441" w:name="_ETM_Q_1181206"/>
      <w:bookmarkStart w:id="1442" w:name="_ETM_Q_1183084"/>
      <w:bookmarkStart w:id="1443" w:name="_ETM_Q_1183711"/>
      <w:bookmarkStart w:id="1444" w:name="_ETM_Q_1184652"/>
      <w:bookmarkStart w:id="1445" w:name="_ETM_Q_1183403"/>
      <w:bookmarkStart w:id="1446" w:name="_ETM_Q_1184338"/>
      <w:bookmarkStart w:id="1447" w:name="_ETM_Q_1185278"/>
      <w:bookmarkStart w:id="1448" w:name="_ETM_Q_1187161"/>
      <w:bookmarkStart w:id="1449" w:name="_ETM_Q_1188418"/>
      <w:bookmarkStart w:id="1450" w:name="_ETM_Q_1192072"/>
      <w:bookmarkStart w:id="1451" w:name="_ETM_Q_1193016"/>
      <w:bookmarkStart w:id="1452" w:name="_ETM_Q_1196148"/>
      <w:bookmarkStart w:id="1453" w:name="_ETM_Q_1197088"/>
      <w:bookmarkStart w:id="1454" w:name="_ETM_Q_1196879"/>
      <w:bookmarkStart w:id="1455" w:name="_ETM_Q_1199074"/>
      <w:bookmarkStart w:id="1456" w:name="_ETM_Q_1201579"/>
      <w:bookmarkStart w:id="1457" w:name="_ETM_Q_1205340"/>
      <w:bookmarkStart w:id="1458" w:name="_ETM_Q_1202833"/>
      <w:bookmarkStart w:id="1459" w:name="_ETM_Q_1206907"/>
      <w:bookmarkStart w:id="1460" w:name="_ETM_Q_1204819"/>
      <w:bookmarkStart w:id="1461" w:name="_ETM_Q_1211927"/>
      <w:bookmarkStart w:id="1462" w:name="_ETM_Q_1217462"/>
      <w:bookmarkStart w:id="1463" w:name="_ETM_Q_1223105"/>
      <w:bookmarkStart w:id="1464" w:name="_ETM_Q_1226552"/>
      <w:bookmarkStart w:id="1465" w:name="_ETM_Q_1223746"/>
      <w:bookmarkStart w:id="1466" w:name="_ETM_Q_1230104"/>
      <w:bookmarkStart w:id="1467" w:name="_ETM_Q_1232298"/>
      <w:bookmarkStart w:id="1468" w:name="_ETM_Q_1232302"/>
      <w:bookmarkStart w:id="1469" w:name="_ETM_Q_1233870"/>
      <w:bookmarkStart w:id="1470" w:name="_ETM_Q_1235438"/>
      <w:bookmarkStart w:id="1471" w:name="_ETM_Q_1272214"/>
      <w:bookmarkStart w:id="1472" w:name="_ETM_Q_1274724"/>
      <w:bookmarkStart w:id="1473" w:name="_ETM_Q_1281934"/>
      <w:bookmarkStart w:id="1474" w:name="_ETM_Q_1282874"/>
      <w:bookmarkStart w:id="1475" w:name="_ETM_Q_1280885"/>
      <w:bookmarkStart w:id="1476" w:name="_ETM_Q_1281829"/>
      <w:bookmarkStart w:id="1477" w:name="_ETM_Q_1284024"/>
      <w:bookmarkStart w:id="1478" w:name="_ETM_Q_1287159"/>
      <w:bookmarkStart w:id="1479" w:name="_ETM_Q_1291235"/>
      <w:bookmarkStart w:id="1480" w:name="_ETM_Q_1292799"/>
      <w:bookmarkStart w:id="1481" w:name="_ETM_Q_1293740"/>
      <w:bookmarkStart w:id="1482" w:name="_ETM_Q_1292069"/>
      <w:bookmarkStart w:id="1483" w:name="_ETM_Q_1293638"/>
      <w:bookmarkStart w:id="1484" w:name="_ETM_Q_1296458"/>
      <w:bookmarkStart w:id="1485" w:name="_ETM_Q_1299908"/>
      <w:bookmarkStart w:id="1486" w:name="_ETM_Q_1298759"/>
      <w:bookmarkStart w:id="1487" w:name="_ETM_Q_1303147"/>
      <w:bookmarkStart w:id="1488" w:name="_ETM_Q_1301053"/>
      <w:bookmarkStart w:id="1489" w:name="_ETM_Q_1307323"/>
      <w:bookmarkStart w:id="1490" w:name="_ETM_Q_1308997"/>
      <w:bookmarkStart w:id="1491" w:name="_ETM_Q_1313386"/>
      <w:bookmarkStart w:id="1492" w:name="_ETM_Q_1313173"/>
      <w:bookmarkStart w:id="1493" w:name="_ETM_Q_1318506"/>
      <w:bookmarkStart w:id="1494" w:name="_ETM_Q_1319760"/>
      <w:bookmarkStart w:id="1495" w:name="_ETM_Q_1327906"/>
      <w:bookmarkStart w:id="1496" w:name="_ETM_Q_1329790"/>
      <w:bookmarkStart w:id="1497" w:name="_ETM_Q_1339195"/>
      <w:bookmarkStart w:id="1498" w:name="_ETM_Q_1336058"/>
      <w:bookmarkStart w:id="1499" w:name="_ETM_Q_1338569"/>
      <w:bookmarkStart w:id="1500" w:name="_ETM_Q_1341075"/>
      <w:bookmarkStart w:id="1501" w:name="_ETM_Q_1337520"/>
      <w:bookmarkStart w:id="1502" w:name="_ETM_Q_1339087"/>
      <w:bookmarkStart w:id="1503" w:name="_ETM_Q_1341282"/>
      <w:bookmarkStart w:id="1504" w:name="_ETM_Q_1342849"/>
      <w:bookmarkStart w:id="1505" w:name="_ETM_Q_1339611"/>
      <w:bookmarkStart w:id="1506" w:name="_ETM_Q_1340866"/>
      <w:bookmarkStart w:id="1507" w:name="_ETM_Q_1342017"/>
      <w:bookmarkStart w:id="1508" w:name="_ETM_Q_1343585"/>
      <w:bookmarkStart w:id="1509" w:name="_ETM_Q_1347027"/>
      <w:bookmarkStart w:id="1510" w:name="_ETM_Q_1351108"/>
      <w:bookmarkStart w:id="1511" w:name="_ETM_Q_1351003"/>
      <w:bookmarkStart w:id="1512" w:name="_ETM_Q_1352253"/>
      <w:bookmarkStart w:id="1513" w:name="_ETM_Q_1355078"/>
      <w:bookmarkStart w:id="1514" w:name="_ETM_Q_1311297"/>
      <w:bookmarkStart w:id="1515" w:name="_ETM_Q_1363123"/>
      <w:bookmarkStart w:id="1516" w:name="_ETM_Q_1366258"/>
      <w:bookmarkStart w:id="1517" w:name="_ETM_Q_1367199"/>
      <w:bookmarkStart w:id="1518" w:name="_ETM_Q_1369705"/>
      <w:bookmarkStart w:id="1519" w:name="_ETM_Q_1372525"/>
      <w:bookmarkStart w:id="1520" w:name="_ETM_Q_1371271"/>
      <w:bookmarkStart w:id="1521" w:name="_ETM_Q_1371897"/>
      <w:bookmarkStart w:id="1522" w:name="_ETM_Q_1370852"/>
      <w:bookmarkStart w:id="1523" w:name="_ETM_Q_1373049"/>
      <w:bookmarkStart w:id="1524" w:name="_ETM_Q_1379214"/>
      <w:bookmarkStart w:id="1525" w:name="_ETM_Q_1379111"/>
      <w:bookmarkStart w:id="1526" w:name="_ETM_Q_1382870"/>
      <w:bookmarkStart w:id="1527" w:name="_ETM_Q_1382140"/>
      <w:bookmarkStart w:id="1528" w:name="_ETM_Q_1384331"/>
      <w:bookmarkStart w:id="1529" w:name="_ETM_Q_1385483"/>
      <w:bookmarkStart w:id="1530" w:name="_ETM_Q_1385375"/>
      <w:bookmarkStart w:id="1531" w:name="_ETM_Q_1386213"/>
      <w:bookmarkStart w:id="1532" w:name="_ETM_Q_1389349"/>
      <w:bookmarkStart w:id="1533" w:name="_ETM_Q_1388617"/>
      <w:bookmarkStart w:id="1534" w:name="_ETM_Q_1391440"/>
      <w:bookmarkStart w:id="1535" w:name="_ETM_Q_1393004"/>
      <w:bookmarkStart w:id="1536" w:name="_ETM_Q_1391751"/>
      <w:bookmarkStart w:id="1537" w:name="_ETM_Q_1395199"/>
      <w:bookmarkStart w:id="1538" w:name="_ETM_Q_1393217"/>
      <w:bookmarkStart w:id="1539" w:name="_ETM_Q_1395411"/>
      <w:bookmarkStart w:id="1540" w:name="_ETM_Q_1397919"/>
      <w:bookmarkStart w:id="1541" w:name="_ETM_Q_1400632"/>
      <w:bookmarkStart w:id="1542" w:name="_ETM_Q_1401572"/>
      <w:bookmarkStart w:id="1543" w:name="_ETM_Q_1404394"/>
      <w:bookmarkStart w:id="1544" w:name="_ETM_Q_1397916"/>
      <w:bookmarkStart w:id="1545" w:name="_ETM_Q_1411295"/>
      <w:bookmarkStart w:id="1546" w:name="_ETM_Q_1412544"/>
      <w:bookmarkStart w:id="1547" w:name="_ETM_Q_1413173"/>
      <w:bookmarkStart w:id="1548" w:name="_ETM_Q_1414113"/>
      <w:bookmarkStart w:id="1549" w:name="_ETM_Q_1421635"/>
      <w:bookmarkStart w:id="1550" w:name="_ETM_Q_1424455"/>
      <w:bookmarkStart w:id="1551" w:name="_ETM_Q_1428216"/>
      <w:bookmarkStart w:id="1552" w:name="_ETM_Q_1429471"/>
      <w:bookmarkStart w:id="1553" w:name="_ETM_Q_1427592"/>
      <w:bookmarkStart w:id="1554" w:name="_ETM_Q_1429162"/>
      <w:bookmarkStart w:id="1555" w:name="_ETM_Q_1430102"/>
      <w:bookmarkStart w:id="1556" w:name="_ETM_Q_1428636"/>
      <w:bookmarkStart w:id="1557" w:name="_ETM_Q_1433340"/>
      <w:bookmarkStart w:id="1558" w:name="_ETM_Q_1430306"/>
      <w:bookmarkStart w:id="1559" w:name="_ETM_Q_1430519"/>
      <w:bookmarkStart w:id="1560" w:name="_ETM_Q_1435115"/>
      <w:bookmarkStart w:id="1561" w:name="_ETM_Q_1433450"/>
      <w:bookmarkStart w:id="1562" w:name="_ETM_Q_1435011"/>
      <w:bookmarkStart w:id="1563" w:name="_ETM_Q_1436995"/>
      <w:bookmarkStart w:id="1564" w:name="_ETM_Q_1437936"/>
      <w:bookmarkStart w:id="1565" w:name="_ETM_Q_1439920"/>
      <w:bookmarkStart w:id="1566" w:name="_ETM_Q_1440862"/>
      <w:bookmarkStart w:id="1567" w:name="_ETM_Q_1443890"/>
      <w:bookmarkStart w:id="1568" w:name="_ETM_Q_1446088"/>
      <w:bookmarkStart w:id="1569" w:name="_ETM_Q_1443893"/>
      <w:bookmarkStart w:id="1570" w:name="_ETM_Q_1446716"/>
      <w:bookmarkStart w:id="1571" w:name="_ETM_Q_1448176"/>
      <w:bookmarkStart w:id="1572" w:name="_ETM_Q_1449115"/>
      <w:bookmarkStart w:id="1573" w:name="_ETM_Q_1447443"/>
      <w:bookmarkStart w:id="1574" w:name="_ETM_Q_1450787"/>
      <w:bookmarkStart w:id="1575" w:name="_ETM_Q_1447966"/>
      <w:bookmarkStart w:id="1576" w:name="_ETM_Q_1452877"/>
      <w:bookmarkStart w:id="1577" w:name="_ETM_Q_1451004"/>
      <w:bookmarkStart w:id="1578" w:name="_ETM_Q_1453821"/>
      <w:bookmarkStart w:id="1579" w:name="_ETM_Q_1452145"/>
      <w:bookmarkStart w:id="1580" w:name="_ETM_Q_1453090"/>
      <w:bookmarkStart w:id="1581" w:name="_ETM_Q_1454654"/>
      <w:bookmarkStart w:id="1582" w:name="_ETM_Q_1452791"/>
      <w:bookmarkStart w:id="1583" w:name="_ETM_Q_1455593"/>
      <w:bookmarkStart w:id="1584" w:name="_ETM_Q_1458417"/>
      <w:bookmarkStart w:id="1585" w:name="_ETM_Q_1456536"/>
      <w:bookmarkStart w:id="1586" w:name="_ETM_Q_1456533"/>
      <w:bookmarkStart w:id="1587" w:name="_ETM_Q_1456237"/>
      <w:bookmarkStart w:id="1588" w:name="_ETM_Q_1457791"/>
      <w:bookmarkStart w:id="1589" w:name="_ETM_Q_1457476"/>
      <w:bookmarkStart w:id="1590" w:name="_ETM_Q_1458730"/>
      <w:bookmarkStart w:id="1591" w:name="_ETM_Q_1458729"/>
      <w:bookmarkStart w:id="1592" w:name="_ETM_Q_1461555"/>
      <w:bookmarkStart w:id="1593" w:name="_ETM_Q_1459059"/>
      <w:bookmarkStart w:id="1594" w:name="_ETM_Q_1460299"/>
      <w:bookmarkStart w:id="1595" w:name="_ETM_Q_1462490"/>
      <w:bookmarkStart w:id="1596" w:name="_ETM_Q_1463430"/>
      <w:bookmarkStart w:id="1597" w:name="_ETM_Q_1465939"/>
      <w:bookmarkStart w:id="1598" w:name="_ETM_Q_1461864"/>
      <w:bookmarkStart w:id="1599" w:name="_ETM_Q_1465314"/>
      <w:bookmarkStart w:id="1600" w:name="_ETM_Q_1466883"/>
      <w:bookmarkStart w:id="1601" w:name="_ETM_Q_1463745"/>
      <w:bookmarkStart w:id="1602" w:name="_ETM_Q_1465938"/>
      <w:bookmarkStart w:id="1603" w:name="_ETM_Q_1467837"/>
      <w:bookmarkStart w:id="1604" w:name="_ETM_Q_1470019"/>
      <w:bookmarkStart w:id="1605" w:name="_ETM_Q_1474089"/>
      <w:bookmarkStart w:id="1606" w:name="_ETM_Q_1479421"/>
      <w:bookmarkStart w:id="1607" w:name="_ETM_Q_1481928"/>
      <w:bookmarkStart w:id="1608" w:name="_ETM_Q_1484438"/>
      <w:bookmarkStart w:id="1609" w:name="_ETM_Q_1485379"/>
      <w:bookmarkStart w:id="1610" w:name="_ETM_Q_1487253"/>
      <w:bookmarkStart w:id="1611" w:name="_ETM_Q_1497600"/>
      <w:bookmarkStart w:id="1612" w:name="_ETM_Q_1501049"/>
      <w:bookmarkStart w:id="1613" w:name="_ETM_Q_1526123"/>
      <w:bookmarkStart w:id="1614" w:name="_ETM_Q_1526752"/>
      <w:bookmarkStart w:id="1615" w:name="_ETM_Q_1528323"/>
      <w:bookmarkStart w:id="1616" w:name="_ETM_Q_1529575"/>
      <w:bookmarkStart w:id="1617" w:name="_ETM_Q_1526754"/>
      <w:bookmarkStart w:id="1618" w:name="_ETM_Q_1528945"/>
      <w:bookmarkStart w:id="1619" w:name="_ETM_Q_1533335"/>
      <w:bookmarkStart w:id="1620" w:name="_ETM_Q_1531782"/>
      <w:bookmarkStart w:id="1621" w:name="_ETM_Q_1534277"/>
      <w:bookmarkStart w:id="1622" w:name="_ETM_Q_1537411"/>
      <w:bookmarkStart w:id="1623" w:name="_ETM_Q_1539606"/>
      <w:bookmarkStart w:id="1624" w:name="_ETM_Q_1538664"/>
      <w:bookmarkStart w:id="1625" w:name="_ETM_Q_1554025"/>
      <w:bookmarkStart w:id="1626" w:name="_ETM_Q_1554964"/>
      <w:bookmarkStart w:id="1627" w:name="_ETM_Q_1556845"/>
      <w:bookmarkStart w:id="1628" w:name="_ETM_Q_1558729"/>
      <w:bookmarkStart w:id="1629" w:name="_ETM_Q_1556635"/>
      <w:bookmarkStart w:id="1630" w:name="_ETM_Q_1558519"/>
      <w:bookmarkStart w:id="1631" w:name="_ETM_Q_1559772"/>
      <w:bookmarkStart w:id="1632" w:name="_ETM_Q_1559145"/>
      <w:bookmarkStart w:id="1633" w:name="_ETM_Q_1566040"/>
      <w:bookmarkStart w:id="1634" w:name="_ETM_Q_1567294"/>
      <w:bookmarkStart w:id="1635" w:name="_ETM_Q_1569176"/>
      <w:bookmarkStart w:id="1636" w:name="_ETM_Q_1570427"/>
      <w:bookmarkStart w:id="1637" w:name="_ETM_Q_1571995"/>
      <w:bookmarkStart w:id="1638" w:name="_ETM_Q_1573249"/>
      <w:bookmarkStart w:id="1639" w:name="_ETM_Q_1574189"/>
      <w:bookmarkStart w:id="1640" w:name="_ETM_Q_1582340"/>
      <w:bookmarkStart w:id="1641" w:name="_ETM_Q_1583279"/>
      <w:bookmarkStart w:id="1642" w:name="_ETM_Q_1580777"/>
      <w:bookmarkStart w:id="1643" w:name="_ETM_Q_1582341"/>
      <w:bookmarkStart w:id="1644" w:name="_ETM_Q_1583280"/>
      <w:bookmarkStart w:id="1645" w:name="_ETM_Q_1588296"/>
      <w:bookmarkStart w:id="1646" w:name="_ETM_Q_1588925"/>
      <w:bookmarkStart w:id="1647" w:name="_ETM_Q_1591432"/>
      <w:bookmarkStart w:id="1648" w:name="_ETM_Q_1592686"/>
      <w:bookmarkStart w:id="1649" w:name="_ETM_Q_1593942"/>
      <w:bookmarkStart w:id="1650" w:name="_ETM_Q_1594897"/>
      <w:bookmarkStart w:id="1651" w:name="_ETM_Q_1596451"/>
      <w:bookmarkStart w:id="1652" w:name="_ETM_Q_1598221"/>
      <w:bookmarkStart w:id="1653" w:name="_ETM_Q_1602402"/>
      <w:bookmarkStart w:id="1654" w:name="_ETM_Q_1602195"/>
      <w:bookmarkStart w:id="1655" w:name="_ETM_Q_1605641"/>
      <w:bookmarkStart w:id="1656" w:name="_ETM_Q_1603030"/>
      <w:bookmarkStart w:id="1657" w:name="_ETM_Q_1604601"/>
      <w:bookmarkStart w:id="1658" w:name="_ETM_Q_1605851"/>
      <w:bookmarkStart w:id="1659" w:name="_ETM_Q_1603761"/>
      <w:bookmarkStart w:id="1660" w:name="_ETM_Q_1606587"/>
      <w:bookmarkStart w:id="1661" w:name="_ETM_Q_1600731"/>
      <w:bookmarkStart w:id="1662" w:name="_ETM_Q_1615048"/>
      <w:bookmarkStart w:id="1663" w:name="_ETM_Q_1616299"/>
      <w:bookmarkStart w:id="1664" w:name="_ETM_Q_1626021"/>
      <w:bookmarkStart w:id="1665" w:name="_ETM_Q_1636676"/>
      <w:bookmarkStart w:id="1666" w:name="_ETM_Q_1637928"/>
      <w:bookmarkStart w:id="1667" w:name="_ETM_Q_1640752"/>
      <w:bookmarkStart w:id="1668" w:name="_ETM_Q_1642003"/>
      <w:bookmarkStart w:id="1669" w:name="_ETM_Q_1640337"/>
      <w:bookmarkStart w:id="1670" w:name="_ETM_Q_1645347"/>
      <w:bookmarkStart w:id="1671" w:name="_ETM_Q_1649735"/>
      <w:bookmarkStart w:id="1672" w:name="_ETM_Q_1657577"/>
      <w:bookmarkStart w:id="1673" w:name="_ETM_Q_1665095"/>
      <w:bookmarkStart w:id="1674" w:name="_ETM_Q_1732178"/>
      <w:bookmarkStart w:id="1675" w:name="_ETM_Q_1740017"/>
      <w:bookmarkStart w:id="1676" w:name="_ETM_Q_1740957"/>
      <w:bookmarkStart w:id="1677" w:name="_ETM_Q_1738868"/>
      <w:bookmarkStart w:id="1678" w:name="_ETM_Q_1740123"/>
      <w:bookmarkStart w:id="1679" w:name="_ETM_Q_1748061"/>
      <w:bookmarkStart w:id="1680" w:name="_ETM_Q_1748691"/>
      <w:bookmarkStart w:id="1681" w:name="_ETM_Q_1751199"/>
      <w:bookmarkStart w:id="1682" w:name="_ETM_Q_1747136"/>
      <w:bookmarkStart w:id="1683" w:name="_ETM_Q_1749632"/>
      <w:bookmarkStart w:id="1684" w:name="_ETM_Q_1751196"/>
      <w:bookmarkStart w:id="1685" w:name="_ETM_Q_1760601"/>
      <w:bookmarkStart w:id="1686" w:name="_ETM_Q_1761857"/>
      <w:bookmarkStart w:id="1687" w:name="_ETM_Q_1764361"/>
      <w:bookmarkStart w:id="1688" w:name="_ETM_Q_1771257"/>
      <w:bookmarkStart w:id="1689" w:name="_ETM_Q_1781601"/>
      <w:bookmarkStart w:id="1690" w:name="_ETM_Q_1783487"/>
      <w:bookmarkStart w:id="1691" w:name="_ETM_Q_7679"/>
      <w:bookmarkStart w:id="1692" w:name="_ETM_Q_7991"/>
      <w:bookmarkStart w:id="1693" w:name="_ETM_Q_34010"/>
      <w:bookmarkStart w:id="1694" w:name="_ETM_Q_39025"/>
      <w:bookmarkStart w:id="1695" w:name="_ETM_Q_39966"/>
      <w:bookmarkStart w:id="1696" w:name="_ETM_Q_37883"/>
      <w:bookmarkStart w:id="1697" w:name="_ETM_Q_38820"/>
      <w:bookmarkStart w:id="1698" w:name="_ETM_Q_39760"/>
      <w:bookmarkStart w:id="1699" w:name="_ETM_Q_52609"/>
      <w:bookmarkStart w:id="1700" w:name="_ETM_Q_54494"/>
      <w:bookmarkStart w:id="1701" w:name="_ETM_Q_56374"/>
      <w:bookmarkStart w:id="1702" w:name="_ETM_Q_59193"/>
      <w:bookmarkStart w:id="1703" w:name="_ETM_Q_61390"/>
      <w:bookmarkStart w:id="1704" w:name="_ETM_Q_63898"/>
      <w:bookmarkStart w:id="1705" w:name="_ETM_Q_62028"/>
      <w:bookmarkStart w:id="1706" w:name="_ETM_Q_69226"/>
      <w:bookmarkStart w:id="1707" w:name="_ETM_Q_68179"/>
      <w:bookmarkStart w:id="1708" w:name="_ETM_Q_69331"/>
      <w:bookmarkStart w:id="1709" w:name="_ETM_Q_70267"/>
      <w:bookmarkStart w:id="1710" w:name="_ETM_Q_76224"/>
      <w:bookmarkStart w:id="1711" w:name="_ETM_Q_72775"/>
      <w:bookmarkStart w:id="1712" w:name="_ETM_Q_85633"/>
      <w:bookmarkStart w:id="1713" w:name="_ETM_Q_82389"/>
      <w:bookmarkStart w:id="1714" w:name="_ETM_Q_84269"/>
      <w:bookmarkStart w:id="1715" w:name="_ETM_Q_83329"/>
      <w:bookmarkStart w:id="1716" w:name="_ETM_Q_89913"/>
      <w:bookmarkStart w:id="1717" w:name="_ETM_Q_92842"/>
      <w:bookmarkStart w:id="1718" w:name="_ETM_Q_89911"/>
      <w:bookmarkStart w:id="1719" w:name="_ETM_Q_92419"/>
      <w:bookmarkStart w:id="1720" w:name="_ETM_Q_99733"/>
      <w:bookmarkStart w:id="1721" w:name="_ETM_Q_101618"/>
      <w:bookmarkStart w:id="1722" w:name="_ETM_Q_100569"/>
      <w:bookmarkStart w:id="1723" w:name="_ETM_Q_101509"/>
      <w:bookmarkStart w:id="1724" w:name="_ETM_Q_103080"/>
      <w:bookmarkStart w:id="1725" w:name="_ETM_Q_107991"/>
      <w:bookmarkStart w:id="1726" w:name="_ETM_Q_109557"/>
      <w:bookmarkStart w:id="1727" w:name="_ETM_Q_106751"/>
      <w:bookmarkStart w:id="1728" w:name="_ETM_Q_109242"/>
      <w:bookmarkStart w:id="1729" w:name="_ETM_Q_120528"/>
      <w:bookmarkStart w:id="1730" w:name="_ETM_Q_119486"/>
      <w:bookmarkStart w:id="1731" w:name="_ETM_Q_120423"/>
      <w:bookmarkStart w:id="1732" w:name="_ETM_Q_121680"/>
      <w:bookmarkStart w:id="1733" w:name="_ETM_Q_122932"/>
      <w:bookmarkStart w:id="1734" w:name="_ETM_Q_120006"/>
      <w:bookmarkStart w:id="1735" w:name="_ETM_Q_121261"/>
      <w:bookmarkStart w:id="1736" w:name="_ETM_Q_124082"/>
      <w:bookmarkStart w:id="1737" w:name="_ETM_Q_123041"/>
      <w:bookmarkStart w:id="1738" w:name="_ETM_Q_123978"/>
      <w:bookmarkStart w:id="1739" w:name="_ETM_Q_128677"/>
      <w:bookmarkStart w:id="1740" w:name="_ETM_Q_130249"/>
      <w:bookmarkStart w:id="1741" w:name="_ETM_Q_131187"/>
      <w:bookmarkStart w:id="1742" w:name="_ETM_Q_132651"/>
      <w:bookmarkStart w:id="1743" w:name="_ETM_Q_133589"/>
      <w:bookmarkStart w:id="1744" w:name="_ETM_Q_133798"/>
      <w:bookmarkStart w:id="1745" w:name="_ETM_Q_138815"/>
      <w:bookmarkStart w:id="1746" w:name="_ETM_Q_137040"/>
      <w:bookmarkStart w:id="1747" w:name="_ETM_Q_137057"/>
      <w:bookmarkStart w:id="1748" w:name="_ETM_Q_140385"/>
      <w:bookmarkStart w:id="1749" w:name="_ETM_Q_140276"/>
      <w:bookmarkStart w:id="1750" w:name="_ETM_Q_140488"/>
      <w:bookmarkStart w:id="1751" w:name="_ETM_Q_141952"/>
      <w:bookmarkStart w:id="1752" w:name="_ETM_Q_142889"/>
      <w:bookmarkStart w:id="1753" w:name="_ETM_Q_142264"/>
      <w:bookmarkStart w:id="1754" w:name="_ETM_Q_142784"/>
      <w:bookmarkStart w:id="1755" w:name="_ETM_Q_143724"/>
      <w:bookmarkStart w:id="1756" w:name="_ETM_Q_144981"/>
      <w:bookmarkStart w:id="1757" w:name="_ETM_Q_145401"/>
      <w:bookmarkStart w:id="1758" w:name="_ETM_Q_159084"/>
      <w:bookmarkStart w:id="1759" w:name="_ETM_Q_160968"/>
      <w:bookmarkStart w:id="1760" w:name="_ETM_Q_162850"/>
      <w:bookmarkStart w:id="1761" w:name="_ETM_Q_164416"/>
      <w:bookmarkStart w:id="1762" w:name="_ETM_Q_167866"/>
      <w:bookmarkStart w:id="1763" w:name="_ETM_Q_166923"/>
      <w:bookmarkStart w:id="1764" w:name="_ETM_Q_170686"/>
      <w:bookmarkStart w:id="1765" w:name="_ETM_Q_169114"/>
      <w:bookmarkStart w:id="1766" w:name="_ETM_Q_167880"/>
      <w:bookmarkStart w:id="1767" w:name="_ETM_Q_168176"/>
      <w:bookmarkStart w:id="1768" w:name="_ETM_Q_173820"/>
      <w:bookmarkStart w:id="1769" w:name="_ETM_Q_170369"/>
      <w:bookmarkStart w:id="1770" w:name="_ETM_Q_172565"/>
      <w:bookmarkStart w:id="1771" w:name="_ETM_Q_176015"/>
      <w:bookmarkStart w:id="1772" w:name="_ETM_Q_175701"/>
      <w:bookmarkStart w:id="1773" w:name="_ETM_Q_178834"/>
      <w:bookmarkStart w:id="1774" w:name="_ETM_Q_175073"/>
      <w:bookmarkStart w:id="1775" w:name="_ETM_Q_181967"/>
      <w:bookmarkStart w:id="1776" w:name="_ETM_Q_182599"/>
      <w:bookmarkStart w:id="1777" w:name="_ETM_Q_186043"/>
      <w:bookmarkStart w:id="1778" w:name="_ETM_Q_181359"/>
      <w:bookmarkStart w:id="1779" w:name="_ETM_Q_182283"/>
      <w:bookmarkStart w:id="1780" w:name="_ETM_Q_184162"/>
      <w:bookmarkStart w:id="1781" w:name="_ETM_Q_183224"/>
      <w:bookmarkStart w:id="1782" w:name="_ETM_Q_186983"/>
      <w:bookmarkStart w:id="1783" w:name="_ETM_Q_190748"/>
      <w:bookmarkStart w:id="1784" w:name="_ETM_Q_187626"/>
      <w:bookmarkStart w:id="1785" w:name="_ETM_Q_191688"/>
      <w:bookmarkStart w:id="1786" w:name="_ETM_Q_192942"/>
      <w:bookmarkStart w:id="1787" w:name="_ETM_Q_199207"/>
      <w:bookmarkStart w:id="1788" w:name="_ETM_Q_199840"/>
      <w:bookmarkStart w:id="1789" w:name="_ETM_Q_198895"/>
      <w:bookmarkStart w:id="1790" w:name="_ETM_Q_198271"/>
      <w:bookmarkStart w:id="1791" w:name="_ETM_Q_200166"/>
      <w:bookmarkStart w:id="1792" w:name="_ETM_Q_207046"/>
      <w:bookmarkStart w:id="1793" w:name="_ETM_Q_208614"/>
      <w:bookmarkStart w:id="1794" w:name="_ETM_Q_203597"/>
      <w:bookmarkStart w:id="1795" w:name="_ETM_Q_210497"/>
      <w:bookmarkStart w:id="1796" w:name="_ETM_Q_211437"/>
      <w:bookmarkStart w:id="1797" w:name="_ETM_Q_211960"/>
      <w:bookmarkStart w:id="1798" w:name="_ETM_Q_213527"/>
      <w:bookmarkStart w:id="1799" w:name="_ETM_Q_236932"/>
      <w:bookmarkStart w:id="1800" w:name="_ETM_Q_238813"/>
      <w:bookmarkStart w:id="1801" w:name="_ETM_Q_241425"/>
      <w:bookmarkStart w:id="1802" w:name="_ETM_Q_242572"/>
      <w:bookmarkStart w:id="1803" w:name="_ETM_Q_243827"/>
      <w:bookmarkStart w:id="1804" w:name="_ETM_Q_246021"/>
      <w:bookmarkStart w:id="1805" w:name="_ETM_Q_249158"/>
      <w:bookmarkStart w:id="1806" w:name="_ETM_Q_249781"/>
      <w:bookmarkStart w:id="1807" w:name="_ETM_Q_247290"/>
      <w:bookmarkStart w:id="1808" w:name="_ETM_Q_251663"/>
      <w:bookmarkStart w:id="1809" w:name="_ETM_Q_249160"/>
      <w:bookmarkStart w:id="1810" w:name="_ETM_Q_250110"/>
      <w:bookmarkStart w:id="1811" w:name="_ETM_Q_252605"/>
      <w:bookmarkStart w:id="1812" w:name="_ETM_Q_255740"/>
      <w:bookmarkStart w:id="1813" w:name="_ETM_Q_256991"/>
      <w:bookmarkStart w:id="1814" w:name="_ETM_Q_255111"/>
      <w:bookmarkStart w:id="1815" w:name="_ETM_Q_257306"/>
      <w:bookmarkStart w:id="1816" w:name="_ETM_Q_261384"/>
      <w:bookmarkStart w:id="1817" w:name="_ETM_Q_267966"/>
      <w:bookmarkStart w:id="1818" w:name="_ETM_Q_272980"/>
      <w:bookmarkStart w:id="1819" w:name="_ETM_Q_270470"/>
      <w:bookmarkStart w:id="1820" w:name="_ETM_Q_272666"/>
      <w:bookmarkStart w:id="1821" w:name="_ETM_Q_272667"/>
      <w:bookmarkStart w:id="1822" w:name="_ETM_Q_273923"/>
      <w:bookmarkStart w:id="1823" w:name="_ETM_Q_279249"/>
      <w:bookmarkStart w:id="1824" w:name="_ETM_Q_282699"/>
      <w:bookmarkStart w:id="1825" w:name="_ETM_Q_281128"/>
      <w:bookmarkStart w:id="1826" w:name="_ETM_Q_283325"/>
      <w:bookmarkStart w:id="1827" w:name="_ETM_Q_292101"/>
      <w:bookmarkStart w:id="1828" w:name="_ETM_Q_294608"/>
      <w:bookmarkStart w:id="1829" w:name="_ETM_Q_295548"/>
      <w:bookmarkStart w:id="1830" w:name="_ETM_Q_297433"/>
      <w:bookmarkStart w:id="1831" w:name="_ETM_Q_293996"/>
      <w:bookmarkStart w:id="1832" w:name="_ETM_Q_297434"/>
      <w:bookmarkStart w:id="1833" w:name="_ETM_Q_298372"/>
      <w:bookmarkStart w:id="1834" w:name="_ETM_Q_300254"/>
      <w:bookmarkStart w:id="1835" w:name="_ETM_Q_300253"/>
      <w:bookmarkStart w:id="1836" w:name="_ETM_Q_300876"/>
      <w:bookmarkStart w:id="1837" w:name="_ETM_Q_309672"/>
      <w:bookmarkStart w:id="1838" w:name="_ETM_Q_315615"/>
      <w:bookmarkStart w:id="1839" w:name="_ETM_Q_317805"/>
      <w:bookmarkStart w:id="1840" w:name="_ETM_Q_318751"/>
      <w:bookmarkStart w:id="1841" w:name="_ETM_Q_319685"/>
      <w:bookmarkStart w:id="1842" w:name="_ETM_Q_326581"/>
      <w:bookmarkStart w:id="1843" w:name="_ETM_Q_328150"/>
      <w:bookmarkStart w:id="1844" w:name="_ETM_Q_326268"/>
      <w:bookmarkStart w:id="1845" w:name="_ETM_Q_328775"/>
      <w:bookmarkStart w:id="1846" w:name="_ETM_Q_329732"/>
      <w:bookmarkStart w:id="1847" w:name="_ETM_Q_330970"/>
      <w:bookmarkStart w:id="1848" w:name="_ETM_Q_335360"/>
      <w:bookmarkStart w:id="1849" w:name="_ETM_Q_337867"/>
      <w:bookmarkStart w:id="1850" w:name="_ETM_Q_339747"/>
      <w:bookmarkStart w:id="1851" w:name="_ETM_Q_345391"/>
      <w:bookmarkStart w:id="1852" w:name="_ETM_Q_343194"/>
      <w:bookmarkStart w:id="1853" w:name="_ETM_Q_348526"/>
      <w:bookmarkStart w:id="1854" w:name="_ETM_Q_349781"/>
      <w:bookmarkStart w:id="1855" w:name="_ETM_Q_346643"/>
      <w:bookmarkStart w:id="1856" w:name="_ETM_Q_348215"/>
      <w:bookmarkStart w:id="1857" w:name="_ETM_Q_350096"/>
      <w:bookmarkStart w:id="1858" w:name="_ETM_Q_352913"/>
      <w:bookmarkStart w:id="1859" w:name="_ETM_Q_349167"/>
      <w:bookmarkStart w:id="1860" w:name="_ETM_Q_351036"/>
      <w:bookmarkStart w:id="1861" w:name="_ETM_Q_351664"/>
      <w:bookmarkStart w:id="1862" w:name="_ETM_Q_353226"/>
      <w:bookmarkStart w:id="1863" w:name="_ETM_Q_355740"/>
      <w:bookmarkStart w:id="1864" w:name="_ETM_Q_357930"/>
      <w:bookmarkStart w:id="1865" w:name="_ETM_Q_354484"/>
      <w:bookmarkStart w:id="1866" w:name="_ETM_Q_353855"/>
      <w:bookmarkStart w:id="1867" w:name="_ETM_Q_356990"/>
      <w:bookmarkStart w:id="1868" w:name="_ETM_Q_361380"/>
      <w:bookmarkStart w:id="1869" w:name="_ETM_Q_362316"/>
      <w:bookmarkStart w:id="1870" w:name="_ETM_Q_369527"/>
      <w:bookmarkStart w:id="1871" w:name="_ETM_Q_372979"/>
      <w:bookmarkStart w:id="1872" w:name="_ETM_Q_375816"/>
      <w:bookmarkStart w:id="1873" w:name="_ETM_Q_379244"/>
      <w:bookmarkStart w:id="1874" w:name="_ETM_Q_377696"/>
      <w:bookmarkStart w:id="1875" w:name="_ETM_Q_381439"/>
      <w:bookmarkStart w:id="1876" w:name="_ETM_Q_383318"/>
      <w:bookmarkStart w:id="1877" w:name="_ETM_Q_356365"/>
      <w:bookmarkStart w:id="1878" w:name="_ETM_Q_384574"/>
      <w:bookmarkStart w:id="1879" w:name="_ETM_Q_387708"/>
      <w:bookmarkStart w:id="1880" w:name="_ETM_Q_388650"/>
      <w:bookmarkStart w:id="1881" w:name="_ETM_Q_387726"/>
      <w:bookmarkStart w:id="1882" w:name="_ETM_Q_390843"/>
      <w:bookmarkStart w:id="1883" w:name="_ETM_Q_395231"/>
      <w:bookmarkStart w:id="1884" w:name="_ETM_Q_356052"/>
      <w:bookmarkStart w:id="1885" w:name="_ETM_Q_394603"/>
      <w:bookmarkStart w:id="1886" w:name="_ETM_Q_399307"/>
      <w:bookmarkStart w:id="1887" w:name="_ETM_Q_402131"/>
      <w:bookmarkStart w:id="1888" w:name="_ETM_Q_400888"/>
      <w:bookmarkStart w:id="1889" w:name="_ETM_Q_402127"/>
      <w:bookmarkStart w:id="1890" w:name="_ETM_Q_404325"/>
      <w:bookmarkStart w:id="1891" w:name="_ETM_Q_403386"/>
      <w:bookmarkStart w:id="1892" w:name="_ETM_Q_402458"/>
      <w:bookmarkStart w:id="1893" w:name="_ETM_Q_405895"/>
      <w:bookmarkStart w:id="1894" w:name="_ETM_Q_408086"/>
      <w:bookmarkStart w:id="1895" w:name="_ETM_Q_409656"/>
      <w:bookmarkStart w:id="1896" w:name="_ETM_Q_409965"/>
      <w:bookmarkStart w:id="1897" w:name="_ETM_Q_410590"/>
      <w:bookmarkStart w:id="1898" w:name="_ETM_Q_414355"/>
      <w:bookmarkStart w:id="1899" w:name="_ETM_Q_414982"/>
      <w:bookmarkStart w:id="1900" w:name="_ETM_Q_424074"/>
      <w:bookmarkStart w:id="1901" w:name="_ETM_Q_424697"/>
      <w:bookmarkStart w:id="1902" w:name="_ETM_Q_421877"/>
      <w:bookmarkStart w:id="1903" w:name="_ETM_Q_408711"/>
      <w:bookmarkStart w:id="1904" w:name="_ETM_Q_423772"/>
      <w:bookmarkStart w:id="1905" w:name="_ETM_Q_425642"/>
      <w:bookmarkStart w:id="1906" w:name="_ETM_Q_432533"/>
      <w:bookmarkStart w:id="1907" w:name="_ETM_Q_430669"/>
      <w:bookmarkStart w:id="1908" w:name="_ETM_Q_431594"/>
      <w:bookmarkStart w:id="1909" w:name="_ETM_Q_445072"/>
      <w:bookmarkStart w:id="1910" w:name="_ETM_Q_448211"/>
      <w:bookmarkStart w:id="1911" w:name="_ETM_Q_449153"/>
      <w:bookmarkStart w:id="1912" w:name="_ETM_Q_445714"/>
      <w:bookmarkStart w:id="1913" w:name="_ETM_Q_450088"/>
      <w:bookmarkStart w:id="1914" w:name="_ETM_Q_451970"/>
      <w:bookmarkStart w:id="1915" w:name="_ETM_Q_451029"/>
      <w:bookmarkStart w:id="1916" w:name="_ETM_Q_452597"/>
      <w:bookmarkStart w:id="1917" w:name="_ETM_Q_456986"/>
      <w:bookmarkStart w:id="1918" w:name="_ETM_Q_453869"/>
      <w:bookmarkStart w:id="1919" w:name="_ETM_Q_458551"/>
      <w:bookmarkStart w:id="1920" w:name="_ETM_Q_460436"/>
      <w:bookmarkStart w:id="1921" w:name="_ETM_Q_461687"/>
      <w:bookmarkStart w:id="1922" w:name="_ETM_Q_464200"/>
      <w:bookmarkStart w:id="1923" w:name="_ETM_Q_467017"/>
      <w:bookmarkStart w:id="1924" w:name="_ETM_Q_490529"/>
      <w:bookmarkStart w:id="1925" w:name="_ETM_Q_491466"/>
      <w:bookmarkStart w:id="1926" w:name="_ETM_Q_495753"/>
      <w:bookmarkStart w:id="1927" w:name="_ETM_Q_497943"/>
      <w:bookmarkStart w:id="1928" w:name="_ETM_Q_502545"/>
      <w:bookmarkStart w:id="1929" w:name="_ETM_Q_503172"/>
      <w:bookmarkStart w:id="1930" w:name="_ETM_Q_506311"/>
      <w:bookmarkStart w:id="1931" w:name="_ETM_Q_507870"/>
      <w:bookmarkStart w:id="1932" w:name="_ETM_Q_508817"/>
      <w:bookmarkStart w:id="1933" w:name="_ETM_Q_505676"/>
      <w:bookmarkStart w:id="1934" w:name="_ETM_Q_512889"/>
      <w:bookmarkStart w:id="1935" w:name="_ETM_Q_513514"/>
      <w:bookmarkStart w:id="1936" w:name="_ETM_Q_510380"/>
      <w:bookmarkStart w:id="1937" w:name="_ETM_Q_511325"/>
      <w:bookmarkStart w:id="1938" w:name="_ETM_Q_511945"/>
      <w:bookmarkStart w:id="1939" w:name="_ETM_Q_514140"/>
      <w:bookmarkStart w:id="1940" w:name="_ETM_Q_513517"/>
      <w:bookmarkStart w:id="1941" w:name="_ETM_Q_515711"/>
      <w:bookmarkStart w:id="1942" w:name="_ETM_Q_520413"/>
      <w:bookmarkStart w:id="1943" w:name="_ETM_Q_521978"/>
      <w:bookmarkStart w:id="1944" w:name="_ETM_Q_522604"/>
      <w:bookmarkStart w:id="1945" w:name="_ETM_Q_521349"/>
      <w:bookmarkStart w:id="1946" w:name="_ETM_Q_524171"/>
      <w:bookmarkStart w:id="1947" w:name="_ETM_Q_522920"/>
      <w:bookmarkStart w:id="1948" w:name="_ETM_Q_524798"/>
      <w:bookmarkStart w:id="1949" w:name="_ETM_Q_526365"/>
      <w:bookmarkStart w:id="1950" w:name="_ETM_Q_526679"/>
      <w:bookmarkStart w:id="1951" w:name="_ETM_Q_526681"/>
      <w:bookmarkStart w:id="1952" w:name="_ETM_Q_533266"/>
      <w:bookmarkStart w:id="1953" w:name="_ETM_Q_531071"/>
      <w:bookmarkStart w:id="1954" w:name="_ETM_Q_530456"/>
      <w:bookmarkStart w:id="1955" w:name="_ETM_Q_531384"/>
      <w:bookmarkStart w:id="1956" w:name="_ETM_Q_533892"/>
      <w:bookmarkStart w:id="1957" w:name="_ETM_Q_538907"/>
      <w:bookmarkStart w:id="1958" w:name="_ETM_Q_540477"/>
      <w:bookmarkStart w:id="1959" w:name="_ETM_Q_545805"/>
      <w:bookmarkStart w:id="1960" w:name="_ETM_Q_543606"/>
      <w:bookmarkStart w:id="1961" w:name="_ETM_Q_545177"/>
      <w:bookmarkStart w:id="1962" w:name="_ETM_Q_551239"/>
      <w:bookmarkStart w:id="1963" w:name="_ETM_Q_552487"/>
      <w:bookmarkStart w:id="1964" w:name="_ETM_Q_550924"/>
      <w:bookmarkStart w:id="1965" w:name="_ETM_Q_555309"/>
      <w:bookmarkStart w:id="1966" w:name="_ETM_Q_555310"/>
      <w:bookmarkStart w:id="1967" w:name="_ETM_Q_556256"/>
      <w:bookmarkStart w:id="1968" w:name="_ETM_Q_558132"/>
      <w:bookmarkStart w:id="1969" w:name="_ETM_Q_563146"/>
      <w:bookmarkStart w:id="1970" w:name="_ETM_Q_565027"/>
      <w:bookmarkStart w:id="1971" w:name="_ETM_Q_569732"/>
      <w:bookmarkStart w:id="1972" w:name="_ETM_Q_571300"/>
      <w:bookmarkStart w:id="1973" w:name="_ETM_Q_569102"/>
      <w:bookmarkStart w:id="1974" w:name="_ETM_Q_571930"/>
      <w:bookmarkStart w:id="1975" w:name="_ETM_Q_575689"/>
      <w:bookmarkStart w:id="1976" w:name="_ETM_Q_571314"/>
      <w:bookmarkStart w:id="1977" w:name="_ETM_Q_584777"/>
      <w:bookmarkStart w:id="1978" w:name="_ETM_Q_586031"/>
      <w:bookmarkStart w:id="1979" w:name="_ETM_Q_583210"/>
      <w:bookmarkStart w:id="1980" w:name="_ETM_Q_584150"/>
      <w:bookmarkStart w:id="1981" w:name="_ETM_Q_586344"/>
      <w:bookmarkStart w:id="1982" w:name="_ETM_Q_590735"/>
      <w:bookmarkStart w:id="1983" w:name="_ETM_Q_592929"/>
      <w:bookmarkStart w:id="1984" w:name="_ETM_Q_594496"/>
      <w:bookmarkStart w:id="1985" w:name="_ETM_Q_591985"/>
      <w:bookmarkStart w:id="1986" w:name="_ETM_Q_595143"/>
      <w:bookmarkStart w:id="1987" w:name="_ETM_Q_598569"/>
      <w:bookmarkStart w:id="1988" w:name="_ETM_Q_627093"/>
      <w:bookmarkStart w:id="1989" w:name="_ETM_Q_626155"/>
      <w:bookmarkStart w:id="1990" w:name="_ETM_Q_626795"/>
      <w:bookmarkStart w:id="1991" w:name="_ETM_Q_627411"/>
      <w:bookmarkStart w:id="1992" w:name="_ETM_Q_635244"/>
      <w:bookmarkStart w:id="1993" w:name="_ETM_Q_636185"/>
      <w:bookmarkStart w:id="1994" w:name="_ETM_Q_635557"/>
      <w:bookmarkStart w:id="1995" w:name="_ETM_Q_635558"/>
      <w:bookmarkStart w:id="1996" w:name="_ETM_Q_636501"/>
      <w:bookmarkStart w:id="1997" w:name="_ETM_Q_637140"/>
      <w:bookmarkStart w:id="1998" w:name="_ETM_Q_638380"/>
      <w:bookmarkStart w:id="1999" w:name="_ETM_Q_655307"/>
      <w:bookmarkStart w:id="2000" w:name="_ETM_Q_654892"/>
      <w:bookmarkStart w:id="2001" w:name="_ETM_Q_657296"/>
      <w:bookmarkStart w:id="2002" w:name="_ETM_Q_660430"/>
      <w:bookmarkStart w:id="2003" w:name="_ETM_Q_662306"/>
      <w:bookmarkStart w:id="2004" w:name="_ETM_Q_660744"/>
      <w:bookmarkStart w:id="2005" w:name="_ETM_Q_661059"/>
      <w:bookmarkStart w:id="2006" w:name="_ETM_Q_662309"/>
      <w:bookmarkStart w:id="2007" w:name="_ETM_Q_661994"/>
      <w:bookmarkStart w:id="2008" w:name="_ETM_Q_662934"/>
      <w:bookmarkStart w:id="2009" w:name="_ETM_Q_666696"/>
      <w:bookmarkStart w:id="2010" w:name="_ETM_Q_668264"/>
      <w:bookmarkStart w:id="2011" w:name="_ETM_Q_668893"/>
      <w:bookmarkStart w:id="2012" w:name="_ETM_Q_672030"/>
      <w:bookmarkStart w:id="2013" w:name="_ETM_Q_670772"/>
      <w:bookmarkStart w:id="2014" w:name="_ETM_Q_671732"/>
      <w:bookmarkStart w:id="2015" w:name="_ETM_Q_673591"/>
      <w:bookmarkStart w:id="2016" w:name="_ETM_Q_675787"/>
      <w:bookmarkStart w:id="2017" w:name="_ETM_Q_674238"/>
      <w:bookmarkStart w:id="2018" w:name="_ETM_Q_675474"/>
      <w:bookmarkStart w:id="2019" w:name="_ETM_Q_676415"/>
      <w:bookmarkStart w:id="2020" w:name="_ETM_Q_677353"/>
      <w:bookmarkStart w:id="2021" w:name="_ETM_Q_681428"/>
      <w:bookmarkStart w:id="2022" w:name="_ETM_Q_686134"/>
      <w:bookmarkStart w:id="2023" w:name="_ETM_Q_687699"/>
      <w:bookmarkStart w:id="2024" w:name="_ETM_Q_697417"/>
      <w:bookmarkStart w:id="2025" w:name="_ETM_Q_698985"/>
      <w:bookmarkStart w:id="2026" w:name="_ETM_Q_708076"/>
      <w:bookmarkStart w:id="2027" w:name="_ETM_Q_709643"/>
      <w:bookmarkStart w:id="2028" w:name="_ETM_Q_708077"/>
      <w:bookmarkStart w:id="2029" w:name="_ETM_Q_710270"/>
      <w:bookmarkStart w:id="2030" w:name="_ETM_Q_726569"/>
      <w:bookmarkStart w:id="2031" w:name="_ETM_Q_728762"/>
      <w:bookmarkStart w:id="2032" w:name="_ETM_Q_725943"/>
      <w:bookmarkStart w:id="2033" w:name="_ETM_Q_728450"/>
      <w:bookmarkStart w:id="2034" w:name="_ETM_Q_735867"/>
      <w:bookmarkStart w:id="2035" w:name="_ETM_Q_738061"/>
      <w:bookmarkStart w:id="2036" w:name="_ETM_Q_741614"/>
      <w:bookmarkStart w:id="2037" w:name="_ETM_Q_739945"/>
      <w:bookmarkStart w:id="2038" w:name="_ETM_Q_740590"/>
      <w:bookmarkStart w:id="2039" w:name="_ETM_Q_741826"/>
      <w:bookmarkStart w:id="2040" w:name="_ETM_Q_746841"/>
      <w:bookmarkStart w:id="2041" w:name="_ETM_Q_748721"/>
      <w:bookmarkStart w:id="2042" w:name="_ETM_Q_744978"/>
      <w:bookmarkStart w:id="2043" w:name="_ETM_Q_747153"/>
      <w:bookmarkStart w:id="2044" w:name="_ETM_Q_753109"/>
      <w:bookmarkStart w:id="2045" w:name="_ETM_Q_749366"/>
      <w:bookmarkStart w:id="2046" w:name="_ETM_Q_751230"/>
      <w:bookmarkStart w:id="2047" w:name="_ETM_Q_751855"/>
      <w:bookmarkStart w:id="2048" w:name="_ETM_Q_756247"/>
      <w:bookmarkStart w:id="2049" w:name="_ETM_Q_756876"/>
      <w:bookmarkStart w:id="2050" w:name="_ETM_Q_758443"/>
      <w:bookmarkStart w:id="2051" w:name="_ETM_Q_760007"/>
      <w:bookmarkStart w:id="2052" w:name="_ETM_Q_762516"/>
      <w:bookmarkStart w:id="2053" w:name="_ETM_Q_771291"/>
      <w:bookmarkStart w:id="2054" w:name="_ETM_Q_771917"/>
      <w:bookmarkStart w:id="2055" w:name="_ETM_Q_777876"/>
      <w:bookmarkStart w:id="2056" w:name="_ETM_Q_775056"/>
      <w:bookmarkStart w:id="2057" w:name="_ETM_Q_776935"/>
      <w:bookmarkStart w:id="2058" w:name="_ETM_Q_776309"/>
      <w:bookmarkStart w:id="2059" w:name="_ETM_Q_777562"/>
      <w:bookmarkStart w:id="2060" w:name="_ETM_Q_779131"/>
      <w:bookmarkStart w:id="2061" w:name="_ETM_Q_786651"/>
      <w:bookmarkStart w:id="2062" w:name="_ETM_Q_784875"/>
      <w:bookmarkStart w:id="2063" w:name="_ETM_Q_799295"/>
      <w:bookmarkStart w:id="2064" w:name="_ETM_Q_795551"/>
      <w:bookmarkStart w:id="2065" w:name="_ETM_Q_798249"/>
      <w:bookmarkStart w:id="2066" w:name="_ETM_Q_796787"/>
      <w:bookmarkStart w:id="2067" w:name="_ETM_Q_797516"/>
      <w:bookmarkStart w:id="2068" w:name="_ETM_Q_798771"/>
      <w:bookmarkStart w:id="2069" w:name="_ETM_Q_803475"/>
      <w:bookmarkStart w:id="2070" w:name="_ETM_Q_801801"/>
      <w:bookmarkStart w:id="2071" w:name="_ETM_Q_804621"/>
      <w:bookmarkStart w:id="2072" w:name="_ETM_Q_805147"/>
      <w:bookmarkStart w:id="2073" w:name="_ETM_Q_802015"/>
      <w:bookmarkStart w:id="2074" w:name="_ETM_Q_804627"/>
      <w:bookmarkStart w:id="2075" w:name="_ETM_Q_805771"/>
      <w:bookmarkStart w:id="2076" w:name="_ETM_Q_809221"/>
      <w:bookmarkStart w:id="2077" w:name="_ETM_Q_811416"/>
      <w:bookmarkStart w:id="2078" w:name="_ETM_Q_814552"/>
      <w:bookmarkStart w:id="2079" w:name="_ETM_Q_815807"/>
      <w:bookmarkStart w:id="2080" w:name="_ETM_Q_815806"/>
      <w:bookmarkStart w:id="2081" w:name="_ETM_Q_817057"/>
      <w:bookmarkStart w:id="2082" w:name="_ETM_Q_820817"/>
      <w:bookmarkStart w:id="2083" w:name="_ETM_Q_823325"/>
      <w:bookmarkStart w:id="2084" w:name="_ETM_Q_823017"/>
      <w:bookmarkStart w:id="2085" w:name="_ETM_Q_824896"/>
      <w:bookmarkStart w:id="2086" w:name="_ETM_Q_823640"/>
      <w:bookmarkStart w:id="2087" w:name="_ETM_Q_822386"/>
      <w:bookmarkStart w:id="2088" w:name="_ETM_Q_828656"/>
      <w:bookmarkStart w:id="2089" w:name="_ETM_Q_829595"/>
      <w:bookmarkStart w:id="2090" w:name="_ETM_Q_834924"/>
      <w:bookmarkStart w:id="2091" w:name="_ETM_Q_835551"/>
      <w:bookmarkStart w:id="2092" w:name="_ETM_Q_838377"/>
      <w:bookmarkStart w:id="2093" w:name="_ETM_Q_839312"/>
      <w:bookmarkStart w:id="2094" w:name="_ETM_Q_842765"/>
      <w:bookmarkStart w:id="2095" w:name="_ETM_Q_840256"/>
      <w:bookmarkStart w:id="2096" w:name="_ETM_Q_840882"/>
      <w:bookmarkStart w:id="2097" w:name="_ETM_Q_842449"/>
      <w:bookmarkStart w:id="2098" w:name="_ETM_Q_845895"/>
      <w:bookmarkStart w:id="2099" w:name="_ETM_Q_842464"/>
      <w:bookmarkStart w:id="2100" w:name="_ETM_Q_847777"/>
      <w:bookmarkStart w:id="2101" w:name="_ETM_Q_850603"/>
      <w:bookmarkStart w:id="2102" w:name="_ETM_Q_851547"/>
      <w:bookmarkStart w:id="2103" w:name="_ETM_Q_852484"/>
      <w:bookmarkStart w:id="2104" w:name="_ETM_Q_848421"/>
      <w:bookmarkStart w:id="2105" w:name="_ETM_Q_849970"/>
      <w:bookmarkStart w:id="2106" w:name="_ETM_Q_850913"/>
      <w:bookmarkStart w:id="2107" w:name="_ETM_Q_848736"/>
      <w:bookmarkStart w:id="2108" w:name="_ETM_Q_850284"/>
      <w:bookmarkStart w:id="2109" w:name="_ETM_Q_855300"/>
      <w:bookmarkStart w:id="2110" w:name="_ETM_Q_855929"/>
      <w:bookmarkStart w:id="2111" w:name="_ETM_Q_861885"/>
      <w:bookmarkStart w:id="2112" w:name="_ETM_Q_863767"/>
      <w:bookmarkStart w:id="2113" w:name="_ETM_Q_879649"/>
      <w:bookmarkStart w:id="2114" w:name="_ETM_Q_877139"/>
      <w:bookmarkStart w:id="2115" w:name="_ETM_Q_877470"/>
      <w:bookmarkStart w:id="2116" w:name="_ETM_Q_880585"/>
      <w:bookmarkStart w:id="2117" w:name="_ETM_Q_884348"/>
      <w:bookmarkStart w:id="2118" w:name="_ETM_Q_880915"/>
      <w:bookmarkStart w:id="2119" w:name="_ETM_Q_884035"/>
      <w:bookmarkStart w:id="2120" w:name="_ETM_Q_887800"/>
      <w:bookmarkStart w:id="2121" w:name="_ETM_Q_889991"/>
      <w:bookmarkStart w:id="2122" w:name="_ETM_Q_890933"/>
      <w:bookmarkStart w:id="2123" w:name="_ETM_Q_902530"/>
      <w:bookmarkStart w:id="2124" w:name="_ETM_Q_904416"/>
      <w:bookmarkStart w:id="2125" w:name="_ETM_Q_910053"/>
      <w:bookmarkStart w:id="2126" w:name="_ETM_Q_910994"/>
      <w:bookmarkStart w:id="2127" w:name="_ETM_Q_909323"/>
      <w:bookmarkStart w:id="2128" w:name="_ETM_Q_910264"/>
      <w:bookmarkStart w:id="2129" w:name="_ETM_Q_914963"/>
      <w:bookmarkStart w:id="2130" w:name="_ETM_Q_915903"/>
      <w:bookmarkStart w:id="2131" w:name="_ETM_Q_921860"/>
      <w:bookmarkStart w:id="2132" w:name="_ETM_Q_923114"/>
      <w:bookmarkStart w:id="2133" w:name="_ETM_Q_926879"/>
      <w:bookmarkStart w:id="2134" w:name="_ETM_Q_930954"/>
      <w:bookmarkStart w:id="2135" w:name="_ETM_Q_933144"/>
      <w:bookmarkStart w:id="2136" w:name="_ETM_Q_934403"/>
      <w:bookmarkStart w:id="2137" w:name="_ETM_Q_936282"/>
      <w:bookmarkStart w:id="2138" w:name="_ETM_Q_937537"/>
      <w:bookmarkStart w:id="2139" w:name="_ETM_Q_939099"/>
      <w:bookmarkStart w:id="2140" w:name="_ETM_Q_942238"/>
      <w:bookmarkStart w:id="2141" w:name="_ETM_Q_941295"/>
      <w:bookmarkStart w:id="2142" w:name="_ETM_Q_939415"/>
      <w:bookmarkStart w:id="2143" w:name="_ETM_Q_941924"/>
      <w:bookmarkStart w:id="2144" w:name="_ETM_Q_947878"/>
      <w:bookmarkStart w:id="2145" w:name="_ETM_Q_961047"/>
      <w:bookmarkStart w:id="2146" w:name="_ETM_Q_957914"/>
      <w:bookmarkStart w:id="2147" w:name="_ETM_Q_959162"/>
      <w:bookmarkStart w:id="2148" w:name="_ETM_Q_960729"/>
      <w:bookmarkStart w:id="2149" w:name="_ETM_Q_962923"/>
      <w:bookmarkStart w:id="2150" w:name="_ETM_Q_964082"/>
      <w:bookmarkStart w:id="2151" w:name="_ETM_Q_966582"/>
      <w:bookmarkStart w:id="2152" w:name="_ETM_Q_980375"/>
      <w:bookmarkStart w:id="2153" w:name="_ETM_Q_981944"/>
      <w:bookmarkStart w:id="2154" w:name="_ETM_Q_984761"/>
      <w:bookmarkStart w:id="2155" w:name="_ETM_Q_985702"/>
      <w:bookmarkStart w:id="2156" w:name="_ETM_Q_982776"/>
      <w:bookmarkStart w:id="2157" w:name="_ETM_Q_989882"/>
      <w:bookmarkStart w:id="2158" w:name="_ETM_Q_991451"/>
      <w:bookmarkStart w:id="2159" w:name="_ETM_Q_999599"/>
      <w:bookmarkStart w:id="2160" w:name="_ETM_Q_996676"/>
      <w:bookmarkStart w:id="2161" w:name="_ETM_Q_998557"/>
      <w:bookmarkStart w:id="2162" w:name="_ETM_Q_999497"/>
      <w:bookmarkStart w:id="2163" w:name="_ETM_Q_1002002"/>
      <w:bookmarkStart w:id="2164" w:name="_ETM_Q_1002946"/>
      <w:bookmarkStart w:id="2165" w:name="_ETM_Q_1019348"/>
      <w:bookmarkStart w:id="2166" w:name="_ETM_Q_1020602"/>
      <w:bookmarkStart w:id="2167" w:name="_ETM_Q_1015378"/>
      <w:bookmarkStart w:id="2168" w:name="_ETM_Q_1016634"/>
      <w:bookmarkStart w:id="2169" w:name="_ETM_Q_1023844"/>
      <w:bookmarkStart w:id="2170" w:name="_ETM_Q_1021648"/>
      <w:bookmarkStart w:id="2171" w:name="_ETM_Q_1025114"/>
      <w:bookmarkStart w:id="2172" w:name="_ETM_Q_1026349"/>
      <w:bookmarkStart w:id="2173" w:name="_ETM_Q_1050502"/>
      <w:bookmarkStart w:id="2174" w:name="_ETM_Q_1052056"/>
      <w:bookmarkStart w:id="2175" w:name="_ETM_Q_1053940"/>
      <w:bookmarkStart w:id="2176" w:name="_ETM_Q_1062086"/>
      <w:bookmarkStart w:id="2177" w:name="_ETM_Q_1063341"/>
      <w:bookmarkStart w:id="2178" w:name="_ETM_Q_1089984"/>
      <w:bookmarkStart w:id="2179" w:name="_ETM_Q_1090611"/>
      <w:bookmarkStart w:id="2180" w:name="_ETM_Q_1092177"/>
      <w:bookmarkStart w:id="2181" w:name="_ETM_Q_1092807"/>
      <w:bookmarkStart w:id="2182" w:name="_ETM_Q_1094058"/>
      <w:bookmarkStart w:id="2183" w:name="_ETM_Q_1094689"/>
      <w:bookmarkStart w:id="2184" w:name="_ETM_Q_1093753"/>
      <w:bookmarkStart w:id="2185" w:name="_ETM_Q_1094372"/>
      <w:bookmarkStart w:id="2186" w:name="_ETM_Q_1098764"/>
      <w:bookmarkStart w:id="2187" w:name="_ETM_Q_1099390"/>
      <w:bookmarkStart w:id="2188" w:name="_ETM_Q_1106599"/>
      <w:bookmarkStart w:id="2189" w:name="_ETM_Q_1108165"/>
      <w:bookmarkStart w:id="2190" w:name="_ETM_Q_1104404"/>
      <w:bookmarkStart w:id="2191" w:name="_ETM_Q_1105033"/>
      <w:bookmarkStart w:id="2192" w:name="_ETM_Q_1105660"/>
      <w:bookmarkStart w:id="2193" w:name="_ETM_Q_1107538"/>
      <w:bookmarkStart w:id="2194" w:name="_ETM_Q_1108479"/>
      <w:bookmarkStart w:id="2195" w:name="_ETM_Q_1113809"/>
      <w:bookmarkStart w:id="2196" w:name="_ETM_Q_1112260"/>
      <w:bookmarkStart w:id="2197" w:name="_ETM_Q_1113807"/>
      <w:bookmarkStart w:id="2198" w:name="_ETM_Q_1119766"/>
      <w:bookmarkStart w:id="2199" w:name="_ETM_Q_1121017"/>
      <w:bookmarkStart w:id="2200" w:name="_ETM_Q_1118198"/>
      <w:bookmarkStart w:id="2201" w:name="_ETM_Q_1120077"/>
      <w:bookmarkStart w:id="2202" w:name="_ETM_Q_1138575"/>
      <w:bookmarkStart w:id="2203" w:name="_ETM_Q_1139513"/>
      <w:bookmarkStart w:id="2204" w:name="_ETM_Q_1141392"/>
      <w:bookmarkStart w:id="2205" w:name="_ETM_Q_1142651"/>
      <w:bookmarkStart w:id="2206" w:name="_ETM_Q_1142124"/>
      <w:bookmarkStart w:id="2207" w:name="_ETM_Q_1142754"/>
      <w:bookmarkStart w:id="2208" w:name="_ETM_Q_1145888"/>
      <w:bookmarkStart w:id="2209" w:name="_ETM_Q_1146514"/>
      <w:bookmarkStart w:id="2210" w:name="_ETM_Q_1147144"/>
      <w:bookmarkStart w:id="2211" w:name="_ETM_Q_1148706"/>
      <w:bookmarkStart w:id="2212" w:name="_ETM_Q_1148919"/>
      <w:bookmarkStart w:id="2213" w:name="_ETM_Q_1150486"/>
      <w:bookmarkStart w:id="2214" w:name="_ETM_Q_1149125"/>
      <w:bookmarkStart w:id="2215" w:name="_ETM_Q_1152886"/>
      <w:bookmarkStart w:id="2216" w:name="_ETM_Q_1158216"/>
      <w:bookmarkStart w:id="2217" w:name="_ETM_Q_1154474"/>
      <w:bookmarkStart w:id="2218" w:name="_ETM_Q_1156547"/>
      <w:bookmarkStart w:id="2219" w:name="_ETM_Q_1155188"/>
      <w:bookmarkStart w:id="2220" w:name="_ETM_Q_1158112"/>
      <w:bookmarkStart w:id="2221" w:name="_ETM_Q_1159680"/>
      <w:bookmarkStart w:id="2222" w:name="_ETM_Q_1162500"/>
      <w:bookmarkStart w:id="2223" w:name="_ETM_Q_1169085"/>
      <w:bookmarkStart w:id="2224" w:name="_ETM_Q_1166576"/>
      <w:bookmarkStart w:id="2225" w:name="_ETM_Q_1168457"/>
      <w:bookmarkStart w:id="2226" w:name="_ETM_Q_1170653"/>
      <w:bookmarkStart w:id="2227" w:name="_ETM_Q_1170761"/>
      <w:bookmarkStart w:id="2228" w:name="_ETM_Q_1170132"/>
      <w:bookmarkStart w:id="2229" w:name="_ETM_Q_1169920"/>
      <w:bookmarkStart w:id="2230" w:name="_ETM_Q_1171804"/>
      <w:bookmarkStart w:id="2231" w:name="_ETM_Q_1164696"/>
      <w:bookmarkStart w:id="2232" w:name="_ETM_Q_1177758"/>
      <w:bookmarkStart w:id="2233" w:name="_ETM_Q_1176188"/>
      <w:bookmarkStart w:id="2234" w:name="_ETM_Q_1179532"/>
      <w:bookmarkStart w:id="2235" w:name="_ETM_Q_1183295"/>
      <w:bookmarkStart w:id="2236" w:name="_ETM_Q_1186119"/>
      <w:bookmarkStart w:id="2237" w:name="_ETM_Q_1185177"/>
      <w:bookmarkStart w:id="2238" w:name="_ETM_Q_1191445"/>
      <w:bookmarkStart w:id="2239" w:name="_ETM_Q_1194581"/>
      <w:bookmarkStart w:id="2240" w:name="_ETM_Q_1196461"/>
      <w:bookmarkStart w:id="2241" w:name="_ETM_Q_1194682"/>
      <w:bookmarkStart w:id="2242" w:name="_ETM_Q_1195937"/>
      <w:bookmarkStart w:id="2243" w:name="_ETM_Q_1196668"/>
      <w:bookmarkStart w:id="2244" w:name="_ETM_Q_1197608"/>
      <w:bookmarkStart w:id="2245" w:name="_ETM_Q_1202315"/>
      <w:bookmarkStart w:id="2246" w:name="_ETM_Q_1200742"/>
      <w:bookmarkStart w:id="2247" w:name="_ETM_Q_1206284"/>
      <w:bookmarkStart w:id="2248" w:name="_ETM_Q_1207015"/>
      <w:bookmarkStart w:id="2249" w:name="_ETM_Q_1208894"/>
      <w:bookmarkStart w:id="2250" w:name="_ETM_Q_1211719"/>
      <w:bookmarkStart w:id="2251" w:name="_ETM_Q_1213285"/>
      <w:bookmarkStart w:id="2252" w:name="_ETM_Q_1254348"/>
      <w:bookmarkStart w:id="2253" w:name="_ETM_Q_1280366"/>
      <w:bookmarkStart w:id="2254" w:name="_ETM_Q_1296977"/>
      <w:bookmarkStart w:id="2255" w:name="_ETM_Q_1417770"/>
      <w:bookmarkStart w:id="2256" w:name="_ETM_Q_1420590"/>
      <w:bookmarkStart w:id="2257" w:name="_ETM_Q_1422783"/>
      <w:bookmarkStart w:id="2258" w:name="_ETM_Q_1420592"/>
      <w:bookmarkStart w:id="2259" w:name="_ETM_Q_1584849"/>
      <w:bookmarkStart w:id="2260" w:name="_ETM_Q_1585791"/>
      <w:bookmarkStart w:id="2261" w:name="_ETM_Q_1587355"/>
      <w:bookmarkStart w:id="2262" w:name="_ETM_Q_1584116"/>
      <w:bookmarkStart w:id="2263" w:name="_ETM_Q_1585061"/>
      <w:bookmarkStart w:id="2264" w:name="_ETM_Q_1585268"/>
      <w:bookmarkStart w:id="2265" w:name="_ETM_Q_1587148"/>
      <w:bookmarkStart w:id="2266" w:name="_ETM_Q_1587356"/>
      <w:bookmarkStart w:id="2267" w:name="_ETM_Q_1634065"/>
      <w:bookmarkStart w:id="2268" w:name="_ETM_Q_1643468"/>
      <w:bookmarkStart w:id="2269" w:name="_ETM_Q_1787663"/>
      <w:bookmarkStart w:id="2270" w:name="_ETM_Q_1785992"/>
      <w:bookmarkStart w:id="2271" w:name="_ETM_Q_1787247"/>
      <w:bookmarkStart w:id="2272" w:name="_ETM_Q_575789"/>
      <w:bookmarkStart w:id="2273" w:name="_ETM_Q_601704"/>
      <w:bookmarkStart w:id="2274" w:name="_ETM_Q_573494"/>
      <w:bookmarkStart w:id="2275" w:name="_ETM_Q_667640"/>
      <w:bookmarkStart w:id="2276" w:name="_ETM_Q_682477"/>
      <w:bookmarkStart w:id="2277" w:name="_ETM_Q_681431"/>
      <w:bookmarkStart w:id="2278" w:name="_ETM_Q_688326"/>
      <w:bookmarkStart w:id="2279" w:name="_ETM_Q_690206"/>
      <w:bookmarkStart w:id="2280" w:name="_ETM_Q_688637"/>
      <w:bookmarkStart w:id="2281" w:name="_ETM_Q_689685"/>
      <w:bookmarkStart w:id="2282" w:name="_ETM_Q_711003"/>
      <w:bookmarkStart w:id="2283" w:name="_ETM_Q_713822"/>
      <w:bookmarkStart w:id="2284" w:name="_ETM_Q_730748"/>
      <w:bookmarkStart w:id="2285" w:name="_ETM_Q_731376"/>
      <w:bookmarkStart w:id="2286" w:name="_ETM_Q_735139"/>
      <w:bookmarkStart w:id="2287" w:name="_ETM_Q_733569"/>
      <w:bookmarkStart w:id="2288" w:name="_ETM_Q_735770"/>
      <w:bookmarkStart w:id="2289" w:name="_ETM_Q_975362"/>
      <w:bookmarkStart w:id="2290" w:name="_ETM_Q_1738555"/>
      <w:bookmarkStart w:id="2291" w:name="_ETM_Q_1735838"/>
      <w:bookmarkStart w:id="2292" w:name="_ETM_Q_1764368"/>
      <w:bookmarkStart w:id="2293" w:name="_ETM_Q_1763635"/>
      <w:bookmarkStart w:id="2294" w:name="_ETM_Q_1763944"/>
      <w:bookmarkStart w:id="2295" w:name="_ETM_Q_413832"/>
      <w:bookmarkStart w:id="2296" w:name="_ETM_Q_569736"/>
      <w:bookmarkStart w:id="2297" w:name="_ETM_Q_573805"/>
      <w:bookmarkStart w:id="2298" w:name="_ETM_Q_571928"/>
      <w:bookmarkStart w:id="2299" w:name="_ETM_Q_575998"/>
      <w:bookmarkStart w:id="2300" w:name="_ETM_Q_574745"/>
      <w:bookmarkStart w:id="2301" w:name="_ETM_Q_589795"/>
      <w:bookmarkStart w:id="2302" w:name="_ETM_Q_591673"/>
      <w:bookmarkStart w:id="2303" w:name="_ETM_Q_591253"/>
      <w:bookmarkStart w:id="2304" w:name="_ETM_Q_595959"/>
      <w:bookmarkStart w:id="2305" w:name="_ETM_Q_597522"/>
      <w:bookmarkStart w:id="2306" w:name="_ETM_Q_600973"/>
      <w:bookmarkStart w:id="2307" w:name="_ETM_Q_602435"/>
      <w:bookmarkStart w:id="2308" w:name="_ETM_Q_606093"/>
      <w:bookmarkStart w:id="2309" w:name="_ETM_Q_607661"/>
      <w:bookmarkStart w:id="2310" w:name="_ETM_Q_634930"/>
      <w:bookmarkStart w:id="2311" w:name="_ETM_Q_635559"/>
      <w:bookmarkStart w:id="2312" w:name="_ETM_Q_637439"/>
      <w:bookmarkStart w:id="2313" w:name="_ETM_Q_657087"/>
      <w:bookmarkStart w:id="2314" w:name="_ETM_Q_716855"/>
      <w:bookmarkStart w:id="2315" w:name="_ETM_Q_733257"/>
      <w:bookmarkStart w:id="2316" w:name="_ETM_Q_729498"/>
      <w:bookmarkStart w:id="2317" w:name="_ETM_Q_742241"/>
      <w:bookmarkStart w:id="2318" w:name="_ETM_Q_750187"/>
      <w:bookmarkStart w:id="2319" w:name="_ETM_Q_755516"/>
      <w:bookmarkStart w:id="2320" w:name="_ETM_Q_758649"/>
      <w:bookmarkStart w:id="2321" w:name="_ETM_Q_769413"/>
      <w:bookmarkStart w:id="2322" w:name="_ETM_Q_1717761"/>
      <w:bookmarkStart w:id="2323" w:name="_ETM_Q_745379"/>
      <w:bookmarkStart w:id="2324" w:name="_ETM_Q_574749"/>
      <w:bookmarkStart w:id="2325" w:name="_ETM_Q_105588"/>
      <w:bookmarkStart w:id="2326" w:name="_ETM_Q_106839"/>
      <w:bookmarkStart w:id="2327" w:name="_ETM_Q_296804"/>
      <w:bookmarkStart w:id="2328" w:name="_ETM_Q_297224"/>
      <w:bookmarkStart w:id="2329" w:name="_ETM_Q_518951"/>
      <w:bookmarkStart w:id="2330" w:name="_ETM_Q_517384"/>
      <w:bookmarkStart w:id="2331" w:name="_ETM_Q_517592"/>
      <w:bookmarkStart w:id="2332" w:name="_ETM_Q_521041"/>
      <w:bookmarkStart w:id="2333" w:name="_ETM_Q_659907"/>
      <w:bookmarkStart w:id="2334" w:name="_ETM_Q_660431"/>
      <w:bookmarkStart w:id="2335" w:name="_ETM_Q_660635"/>
      <w:bookmarkStart w:id="2336" w:name="_ETM_Q_658341"/>
      <w:bookmarkStart w:id="2337" w:name="_ETM_Q_664606"/>
      <w:bookmarkStart w:id="2338" w:name="_ETM_Q_709432"/>
      <w:bookmarkStart w:id="2339" w:name="_ETM_Q_713821"/>
      <w:bookmarkStart w:id="2340" w:name="_ETM_Q_713611"/>
      <w:bookmarkStart w:id="2341" w:name="_ETM_Q_722286"/>
      <w:bookmarkStart w:id="2342" w:name="_ETM_Q_724164"/>
      <w:bookmarkStart w:id="2343" w:name="_ETM_Q_723538"/>
      <w:bookmarkStart w:id="2344" w:name="_ETM_Q_726986"/>
      <w:bookmarkStart w:id="2345" w:name="_ETM_Q_728239"/>
      <w:bookmarkStart w:id="2346" w:name="_ETM_Q_730227"/>
      <w:bookmarkStart w:id="2347" w:name="_ETM_Q_732526"/>
      <w:bookmarkStart w:id="2348" w:name="_ETM_Q_732949"/>
      <w:bookmarkStart w:id="2349" w:name="_ETM_Q_735454"/>
      <w:bookmarkStart w:id="2350" w:name="_ETM_Q_1057700"/>
      <w:bookmarkStart w:id="2351" w:name="_ETM_Q_1055921"/>
      <w:bookmarkStart w:id="2352" w:name="_ETM_Q_1065221"/>
      <w:bookmarkStart w:id="2353" w:name="_ETM_Q_1068562"/>
      <w:bookmarkStart w:id="2354" w:name="_ETM_Q_1281515"/>
      <w:bookmarkStart w:id="2355" w:name="_ETM_Q_1285589"/>
      <w:bookmarkStart w:id="2356" w:name="_ETM_Q_1284337"/>
      <w:bookmarkStart w:id="2357" w:name="_ETM_Q_1288412"/>
      <w:bookmarkStart w:id="2358" w:name="_ETM_Q_1285694"/>
      <w:bookmarkStart w:id="2359" w:name="_ETM_Q_1287786"/>
      <w:bookmarkStart w:id="2360" w:name="_ETM_Q_1295619"/>
      <w:bookmarkStart w:id="2361" w:name="_ETM_Q_1333969"/>
      <w:bookmarkStart w:id="2362" w:name="_ETM_Q_1335013"/>
      <w:bookmarkStart w:id="2363" w:name="_ETM_Q_1336476"/>
      <w:bookmarkStart w:id="2364" w:name="_ETM_Q_1337940"/>
      <w:bookmarkStart w:id="2365" w:name="_ETM_Q_1339508"/>
      <w:bookmarkStart w:id="2366" w:name="_ETM_Q_1343164"/>
      <w:bookmarkStart w:id="2367" w:name="_ETM_Q_1346611"/>
      <w:bookmarkStart w:id="2368" w:name="_ETM_Q_1349433"/>
      <w:bookmarkStart w:id="2369" w:name="_ETM_Q_1349642"/>
      <w:bookmarkStart w:id="2370" w:name="_ETM_Q_1352464"/>
      <w:bookmarkStart w:id="2371" w:name="_ETM_Q_1350796"/>
      <w:bookmarkStart w:id="2372" w:name="_ETM_Q_1351419"/>
      <w:bookmarkStart w:id="2373" w:name="_ETM_Q_1351941"/>
      <w:bookmarkStart w:id="2374" w:name="_ETM_Q_1354767"/>
      <w:bookmarkStart w:id="2375" w:name="_ETM_Q_1384645"/>
      <w:bookmarkStart w:id="2376" w:name="_ETM_Q_1385898"/>
      <w:bookmarkStart w:id="2377" w:name="_ETM_Q_1399482"/>
      <w:bookmarkStart w:id="2378" w:name="_ETM_Q_1396978"/>
      <w:bookmarkStart w:id="2379" w:name="_ETM_Q_1403041"/>
      <w:bookmarkStart w:id="2380" w:name="_ETM_Q_1404608"/>
      <w:bookmarkStart w:id="2381" w:name="_ETM_Q_1407321"/>
      <w:bookmarkStart w:id="2382" w:name="_ETM_Q_1409203"/>
      <w:bookmarkStart w:id="2383" w:name="_ETM_Q_1476181"/>
      <w:bookmarkStart w:id="2384" w:name="_ETM_Q_1478375"/>
      <w:bookmarkStart w:id="2385" w:name="_ETM_Q_1560397"/>
      <w:bookmarkStart w:id="2386" w:name="_ETM_Q_1561131"/>
      <w:bookmarkStart w:id="2387" w:name="_ETM_Q_1558830"/>
      <w:bookmarkStart w:id="2388" w:name="_ETM_Q_1564473"/>
      <w:bookmarkStart w:id="2389" w:name="_ETM_Q_1561964"/>
      <w:bookmarkStart w:id="2390" w:name="_ETM_Q_1565728"/>
      <w:bookmarkStart w:id="2391" w:name="_ETM_Q_1566247"/>
      <w:bookmarkStart w:id="2392" w:name="_ETM_Q_1606062"/>
      <w:bookmarkStart w:id="2393" w:name="_ETM_Q_1606585"/>
      <w:bookmarkStart w:id="2394" w:name="_ETM_Q_1608779"/>
      <w:bookmarkStart w:id="2395" w:name="_ETM_Q_161285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</w:p>
    <w:p w:rsidR="00503834" w:rsidRDefault="00503834" w:rsidP="00503834">
      <w:pPr>
        <w:pStyle w:val="a4"/>
        <w:shd w:val="clear" w:color="auto" w:fill="auto"/>
        <w:spacing w:line="360" w:lineRule="auto"/>
        <w:ind w:left="1985" w:hanging="1985"/>
        <w:jc w:val="both"/>
        <w:rPr>
          <w:rFonts w:ascii="Arial" w:hAnsi="Arial" w:cs="David"/>
          <w:b w:val="0"/>
          <w:bCs w:val="0"/>
          <w:sz w:val="6"/>
          <w:szCs w:val="6"/>
          <w:u w:val="none"/>
          <w:rtl/>
        </w:rPr>
      </w:pPr>
      <w:r>
        <w:rPr>
          <w:rFonts w:ascii="Arial" w:hAnsi="Arial" w:cs="David"/>
          <w:b w:val="0"/>
          <w:bCs w:val="0"/>
          <w:sz w:val="6"/>
          <w:szCs w:val="6"/>
          <w:u w:val="none"/>
          <w:rtl/>
        </w:rPr>
        <w:t>&lt;#15#&gt;</w:t>
      </w:r>
    </w:p>
    <w:p w:rsidR="00503834" w:rsidRDefault="00503834" w:rsidP="00503834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פסק דין</w:t>
      </w:r>
    </w:p>
    <w:p w:rsidR="00503834" w:rsidRDefault="00503834" w:rsidP="00503834">
      <w:pPr>
        <w:pStyle w:val="a4"/>
        <w:shd w:val="clear" w:color="auto" w:fill="auto"/>
        <w:spacing w:line="360" w:lineRule="auto"/>
        <w:ind w:left="942" w:firstLine="0"/>
        <w:jc w:val="both"/>
        <w:rPr>
          <w:rFonts w:ascii="Arial" w:hAnsi="Arial" w:cs="David"/>
          <w:sz w:val="24"/>
          <w:szCs w:val="24"/>
          <w:u w:val="none"/>
          <w:rtl/>
        </w:rPr>
      </w:pPr>
      <w:bookmarkStart w:id="2396" w:name="_ETM_Q_1633124"/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יש מקרים שבהם משפט המשפחה מביא במלוא עוזו מצב משפטי מצד </w:t>
      </w:r>
      <w:bookmarkStart w:id="2397" w:name="_ETM_Q_1640649"/>
      <w:bookmarkEnd w:id="2397"/>
      <w:r>
        <w:rPr>
          <w:rFonts w:ascii="Arial" w:hAnsi="Arial" w:cs="David"/>
          <w:sz w:val="24"/>
          <w:szCs w:val="24"/>
          <w:u w:val="none"/>
          <w:rtl/>
        </w:rPr>
        <w:t xml:space="preserve">אחד עם מצב משפחתי אחר קשה. לצערי, זהו אחד </w:t>
      </w:r>
      <w:bookmarkStart w:id="2398" w:name="_ETM_Q_1652558"/>
      <w:bookmarkEnd w:id="2398"/>
      <w:r>
        <w:rPr>
          <w:rFonts w:ascii="Arial" w:hAnsi="Arial" w:cs="David"/>
          <w:sz w:val="24"/>
          <w:szCs w:val="24"/>
          <w:u w:val="none"/>
          <w:rtl/>
        </w:rPr>
        <w:t xml:space="preserve">המקרים שבו סבתא בת 96 נדרשת לנהל הליך מול שלושה </w:t>
      </w:r>
      <w:bookmarkStart w:id="2399" w:name="_ETM_Q_1660081"/>
      <w:bookmarkEnd w:id="2399"/>
      <w:r>
        <w:rPr>
          <w:rFonts w:ascii="Arial" w:hAnsi="Arial" w:cs="David"/>
          <w:sz w:val="24"/>
          <w:szCs w:val="24"/>
          <w:u w:val="none"/>
          <w:rtl/>
        </w:rPr>
        <w:t xml:space="preserve">מנכדיה הצעירים.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בסופו של יום ולאחר בחינה מעמיקה של המצב </w:t>
      </w:r>
      <w:bookmarkStart w:id="2400" w:name="_ETM_Q_1671055"/>
      <w:bookmarkEnd w:id="2400"/>
      <w:r>
        <w:rPr>
          <w:rFonts w:ascii="Arial" w:hAnsi="Arial" w:cs="David"/>
          <w:sz w:val="24"/>
          <w:szCs w:val="24"/>
          <w:u w:val="none"/>
          <w:rtl/>
        </w:rPr>
        <w:t xml:space="preserve">המשפטי והעובדתי כפי שיפורט להלן בהרחבה, דינה של התביעה להידחות. </w:t>
      </w:r>
      <w:bookmarkStart w:id="2401" w:name="_ETM_Q_1678577"/>
      <w:bookmarkEnd w:id="2401"/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>התובעת לא הצליחה להוכיח את טענתה המרכזית כי ט</w:t>
      </w:r>
      <w:bookmarkStart w:id="2402" w:name="_ETM_Q_1686414"/>
      <w:bookmarkEnd w:id="2402"/>
      <w:r>
        <w:rPr>
          <w:rFonts w:ascii="Arial" w:hAnsi="Arial" w:cs="David"/>
          <w:sz w:val="24"/>
          <w:szCs w:val="24"/>
          <w:u w:val="none"/>
          <w:rtl/>
        </w:rPr>
        <w:t xml:space="preserve">עתה בהתקשרות בהסכם המתנה לא על פי חוק החוזים ולא </w:t>
      </w:r>
      <w:bookmarkStart w:id="2403" w:name="_ETM_Q_1690384"/>
      <w:bookmarkEnd w:id="2403"/>
      <w:r>
        <w:rPr>
          <w:rFonts w:ascii="Arial" w:hAnsi="Arial" w:cs="David"/>
          <w:sz w:val="24"/>
          <w:szCs w:val="24"/>
          <w:u w:val="none"/>
          <w:rtl/>
        </w:rPr>
        <w:t>על פי חוק המתנה. היא איננה עונה על אף אח</w:t>
      </w:r>
      <w:bookmarkStart w:id="2404" w:name="_ETM_Q_1690804"/>
      <w:bookmarkEnd w:id="2404"/>
      <w:r>
        <w:rPr>
          <w:rFonts w:ascii="Arial" w:hAnsi="Arial" w:cs="David"/>
          <w:sz w:val="24"/>
          <w:szCs w:val="24"/>
          <w:u w:val="none"/>
          <w:rtl/>
        </w:rPr>
        <w:t xml:space="preserve">ת מהדרישות בחוקים אלה לביטול.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יצוין כי לא נעלם מעייני </w:t>
      </w:r>
      <w:bookmarkStart w:id="2405" w:name="_ETM_Q_1701776"/>
      <w:bookmarkEnd w:id="2405"/>
      <w:r>
        <w:rPr>
          <w:rFonts w:ascii="Arial" w:hAnsi="Arial" w:cs="David"/>
          <w:sz w:val="24"/>
          <w:szCs w:val="24"/>
          <w:u w:val="none"/>
          <w:rtl/>
        </w:rPr>
        <w:t xml:space="preserve">כי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הסכסוך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האמ</w:t>
      </w:r>
      <w:r>
        <w:rPr>
          <w:rFonts w:ascii="Arial" w:hAnsi="Arial" w:cs="David" w:hint="cs"/>
          <w:sz w:val="24"/>
          <w:szCs w:val="24"/>
          <w:u w:val="none"/>
          <w:rtl/>
        </w:rPr>
        <w:t>י</w:t>
      </w:r>
      <w:r>
        <w:rPr>
          <w:rFonts w:ascii="Arial" w:hAnsi="Arial" w:cs="David"/>
          <w:sz w:val="24"/>
          <w:szCs w:val="24"/>
          <w:u w:val="none"/>
          <w:rtl/>
        </w:rPr>
        <w:t>תי</w:t>
      </w:r>
      <w:proofErr w:type="spellEnd"/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 מאחורי הקלעים הוא בין </w:t>
      </w:r>
      <w:bookmarkStart w:id="2406" w:name="_ETM_Q_1707625"/>
      <w:bookmarkEnd w:id="2406"/>
      <w:r>
        <w:rPr>
          <w:rFonts w:ascii="Arial" w:hAnsi="Arial" w:cs="David"/>
          <w:sz w:val="24"/>
          <w:szCs w:val="24"/>
          <w:u w:val="none"/>
          <w:rtl/>
        </w:rPr>
        <w:t>ילדיה של התובעת, הבת והבן</w:t>
      </w:r>
      <w:r>
        <w:rPr>
          <w:rFonts w:ascii="Arial" w:hAnsi="Arial" w:cs="David" w:hint="cs"/>
          <w:sz w:val="24"/>
          <w:szCs w:val="24"/>
          <w:u w:val="none"/>
          <w:rtl/>
        </w:rPr>
        <w:t>.</w:t>
      </w:r>
      <w:r>
        <w:rPr>
          <w:rFonts w:ascii="Arial" w:hAnsi="Arial" w:cs="David"/>
          <w:sz w:val="24"/>
          <w:szCs w:val="24"/>
          <w:u w:val="none"/>
          <w:rtl/>
        </w:rPr>
        <w:t xml:space="preserve"> אולם סכסוך זה ופעולות כאלה </w:t>
      </w:r>
      <w:bookmarkStart w:id="2407" w:name="_ETM_Q_1717340"/>
      <w:bookmarkEnd w:id="2407"/>
      <w:r>
        <w:rPr>
          <w:rFonts w:ascii="Arial" w:hAnsi="Arial" w:cs="David"/>
          <w:sz w:val="24"/>
          <w:szCs w:val="24"/>
          <w:u w:val="none"/>
          <w:rtl/>
        </w:rPr>
        <w:t xml:space="preserve">ואחרות של שניהם מאחורי הקלעים אינם מהווים סיבה לביטול העסקה </w:t>
      </w:r>
      <w:bookmarkStart w:id="2408" w:name="_ETM_Q_1724550"/>
      <w:bookmarkEnd w:id="2408"/>
      <w:r>
        <w:rPr>
          <w:rFonts w:ascii="Arial" w:hAnsi="Arial" w:cs="David"/>
          <w:sz w:val="24"/>
          <w:szCs w:val="24"/>
          <w:u w:val="none"/>
          <w:rtl/>
        </w:rPr>
        <w:t xml:space="preserve">המשפטית בה התקשרה התובעת.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לכך יש להוסיף שחרטה של התובעת </w:t>
      </w:r>
      <w:bookmarkStart w:id="2409" w:name="_ETM_Q_1731762"/>
      <w:bookmarkEnd w:id="2409"/>
      <w:proofErr w:type="spellStart"/>
      <w:r>
        <w:rPr>
          <w:rFonts w:ascii="Arial" w:hAnsi="Arial" w:cs="David"/>
          <w:sz w:val="24"/>
          <w:szCs w:val="24"/>
          <w:u w:val="none"/>
          <w:rtl/>
        </w:rPr>
        <w:t>אמ</w:t>
      </w:r>
      <w:r>
        <w:rPr>
          <w:rFonts w:ascii="Arial" w:hAnsi="Arial" w:cs="David" w:hint="cs"/>
          <w:sz w:val="24"/>
          <w:szCs w:val="24"/>
          <w:u w:val="none"/>
          <w:rtl/>
        </w:rPr>
        <w:t>י</w:t>
      </w:r>
      <w:r>
        <w:rPr>
          <w:rFonts w:ascii="Arial" w:hAnsi="Arial" w:cs="David"/>
          <w:sz w:val="24"/>
          <w:szCs w:val="24"/>
          <w:u w:val="none"/>
          <w:rtl/>
        </w:rPr>
        <w:t>תית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ככל שתהיה בוודאי איננה מספיקה להוכחת עילת התביעה. </w:t>
      </w: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הועלו </w:t>
      </w:r>
      <w:bookmarkStart w:id="2410" w:name="_ETM_Q_1742105"/>
      <w:bookmarkEnd w:id="2410"/>
      <w:r>
        <w:rPr>
          <w:rFonts w:ascii="Arial" w:hAnsi="Arial" w:cs="David"/>
          <w:sz w:val="24"/>
          <w:szCs w:val="24"/>
          <w:u w:val="none"/>
          <w:rtl/>
        </w:rPr>
        <w:t xml:space="preserve">טענות רבות לגבי אופן ביצוע העסקה. </w:t>
      </w:r>
    </w:p>
    <w:p w:rsidR="00503834" w:rsidRPr="00503834" w:rsidRDefault="00503834" w:rsidP="00503834">
      <w:pPr>
        <w:pStyle w:val="a6"/>
        <w:rPr>
          <w:b/>
          <w:bCs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  <w:rtl/>
        </w:rPr>
      </w:pPr>
      <w:r w:rsidRPr="00503834">
        <w:rPr>
          <w:rFonts w:ascii="David" w:hAnsi="David" w:cs="David"/>
          <w:sz w:val="24"/>
          <w:szCs w:val="24"/>
          <w:u w:val="none"/>
          <w:rtl/>
        </w:rPr>
        <w:lastRenderedPageBreak/>
        <w:t>ביום 12.9.</w:t>
      </w:r>
      <w:r w:rsidRPr="00BB4B5B">
        <w:rPr>
          <w:rFonts w:ascii="Arial" w:hAnsi="Arial" w:cs="David"/>
          <w:sz w:val="24"/>
          <w:szCs w:val="24"/>
          <w:u w:val="none"/>
          <w:rtl/>
        </w:rPr>
        <w:t>2019</w:t>
      </w:r>
      <w:r w:rsidRPr="00503834">
        <w:rPr>
          <w:rFonts w:ascii="David" w:hAnsi="David" w:cs="David"/>
          <w:sz w:val="24"/>
          <w:szCs w:val="24"/>
          <w:u w:val="none"/>
          <w:rtl/>
        </w:rPr>
        <w:t xml:space="preserve"> נחתמו תצהירי </w:t>
      </w:r>
      <w:bookmarkStart w:id="2411" w:name="_ETM_Q_1748164"/>
      <w:bookmarkEnd w:id="2411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מתנה מהסבתא לשלושת הנכדים כאשר נכדה אחת *** אשר שהתה </w:t>
      </w:r>
      <w:bookmarkStart w:id="2412" w:name="_ETM_Q_1759450"/>
      <w:bookmarkEnd w:id="2412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בחו"ל חתמה על אותו נוסח בתאריך ה- 10.9.2019. בנוסף, נחתמו </w:t>
      </w:r>
      <w:bookmarkStart w:id="2413" w:name="_ETM_Q_1765723"/>
      <w:bookmarkEnd w:id="2413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ארבעה ייפויי כוח בלתי חוזרים על ידי כל הצדדים אל </w:t>
      </w:r>
      <w:bookmarkStart w:id="2414" w:name="_ETM_Q_1772302"/>
      <w:bookmarkEnd w:id="2414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משמעותם, אדרש בהמשך. העסקה דווחה לרשויות המס והתקבלו גם אישורי </w:t>
      </w:r>
      <w:bookmarkStart w:id="2415" w:name="_ETM_Q_1785781"/>
      <w:bookmarkEnd w:id="2415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מיסים. לכך יש להוסיף כי התצהירים פשוטים להבנה, אין </w:t>
      </w:r>
      <w:bookmarkStart w:id="2416" w:name="_ETM_Q_1796126"/>
      <w:bookmarkEnd w:id="2416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בהם כל הוספת </w:t>
      </w:r>
      <w:proofErr w:type="spellStart"/>
      <w:r w:rsidRPr="00503834">
        <w:rPr>
          <w:rFonts w:ascii="David" w:hAnsi="David" w:cs="David"/>
          <w:sz w:val="24"/>
          <w:szCs w:val="24"/>
          <w:u w:val="none"/>
          <w:rtl/>
        </w:rPr>
        <w:t>תניות</w:t>
      </w:r>
      <w:proofErr w:type="spellEnd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. בהם מצוין, </w:t>
      </w:r>
      <w:bookmarkEnd w:id="2396"/>
      <w:r w:rsidRPr="00503834">
        <w:rPr>
          <w:rFonts w:ascii="David" w:hAnsi="David" w:cs="David"/>
          <w:sz w:val="24"/>
          <w:szCs w:val="24"/>
          <w:u w:val="none"/>
          <w:rtl/>
        </w:rPr>
        <w:t xml:space="preserve">כי התובעת </w:t>
      </w:r>
      <w:r>
        <w:rPr>
          <w:rFonts w:ascii="Arial" w:hAnsi="Arial" w:cs="David"/>
          <w:sz w:val="24"/>
          <w:szCs w:val="24"/>
          <w:u w:val="none"/>
          <w:rtl/>
        </w:rPr>
        <w:t>היא הבעלים והמחזיקה של הדירה ב</w:t>
      </w:r>
      <w:r>
        <w:rPr>
          <w:rFonts w:ascii="Arial" w:hAnsi="Arial" w:cs="David" w:hint="cs"/>
          <w:sz w:val="24"/>
          <w:szCs w:val="24"/>
          <w:u w:val="none"/>
          <w:rtl/>
        </w:rPr>
        <w:t>----</w:t>
      </w:r>
      <w:r>
        <w:rPr>
          <w:rFonts w:ascii="Arial" w:hAnsi="Arial" w:cs="David"/>
          <w:sz w:val="24"/>
          <w:szCs w:val="24"/>
          <w:u w:val="none"/>
          <w:rtl/>
        </w:rPr>
        <w:t xml:space="preserve"> והיא </w:t>
      </w:r>
      <w:bookmarkStart w:id="2417" w:name="_ETM_Q_5487"/>
      <w:bookmarkEnd w:id="2417"/>
      <w:r>
        <w:rPr>
          <w:rFonts w:ascii="Arial" w:hAnsi="Arial" w:cs="David"/>
          <w:sz w:val="24"/>
          <w:szCs w:val="24"/>
          <w:u w:val="none"/>
          <w:rtl/>
        </w:rPr>
        <w:t xml:space="preserve">מעבירה את כל זכויותיה בדירה לשלושת נכדיה בחלקים שווים ללא </w:t>
      </w:r>
      <w:bookmarkStart w:id="2418" w:name="_ETM_Q_11444"/>
      <w:bookmarkEnd w:id="2418"/>
      <w:r>
        <w:rPr>
          <w:rFonts w:ascii="Arial" w:hAnsi="Arial" w:cs="David"/>
          <w:sz w:val="24"/>
          <w:szCs w:val="24"/>
          <w:u w:val="none"/>
          <w:rtl/>
        </w:rPr>
        <w:t xml:space="preserve">תמורה. בנוסף, צוין מפורשות בכל התצהירים כי העסקה היא ללא </w:t>
      </w:r>
      <w:bookmarkStart w:id="2419" w:name="_ETM_Q_19280"/>
      <w:bookmarkEnd w:id="2419"/>
      <w:r>
        <w:rPr>
          <w:rFonts w:ascii="Arial" w:hAnsi="Arial" w:cs="David"/>
          <w:sz w:val="24"/>
          <w:szCs w:val="24"/>
          <w:u w:val="none"/>
          <w:rtl/>
        </w:rPr>
        <w:t xml:space="preserve">קבלת תמורה, לא בעבר ולא בעתיד עבור העברת הדירה. </w:t>
      </w:r>
    </w:p>
    <w:p w:rsidR="00503834" w:rsidRDefault="00503834" w:rsidP="00503834">
      <w:pPr>
        <w:pStyle w:val="a4"/>
        <w:shd w:val="clear" w:color="auto" w:fill="auto"/>
        <w:spacing w:line="360" w:lineRule="auto"/>
        <w:ind w:left="942" w:firstLine="0"/>
        <w:jc w:val="both"/>
        <w:rPr>
          <w:rFonts w:ascii="Arial" w:hAnsi="Arial" w:cs="David"/>
          <w:sz w:val="24"/>
          <w:szCs w:val="24"/>
          <w:u w:val="none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בנוסף, </w:t>
      </w:r>
      <w:bookmarkStart w:id="2420" w:name="_ETM_Q_26173"/>
      <w:bookmarkEnd w:id="2420"/>
      <w:r>
        <w:rPr>
          <w:rFonts w:ascii="Arial" w:hAnsi="Arial" w:cs="David"/>
          <w:sz w:val="24"/>
          <w:szCs w:val="24"/>
          <w:u w:val="none"/>
          <w:rtl/>
        </w:rPr>
        <w:t xml:space="preserve">מי שייצג את כל הצדדים בעסקה הוא עורך הדין </w:t>
      </w:r>
      <w:r>
        <w:rPr>
          <w:rFonts w:ascii="Arial" w:hAnsi="Arial" w:cs="David" w:hint="cs"/>
          <w:sz w:val="24"/>
          <w:szCs w:val="24"/>
          <w:u w:val="none"/>
          <w:rtl/>
        </w:rPr>
        <w:t>----</w:t>
      </w:r>
      <w:r>
        <w:rPr>
          <w:rFonts w:ascii="Arial" w:hAnsi="Arial" w:cs="David"/>
          <w:sz w:val="24"/>
          <w:szCs w:val="24"/>
          <w:u w:val="none"/>
          <w:rtl/>
        </w:rPr>
        <w:t xml:space="preserve"> שהוא קרוב משפחה של הצדדים ופעל עבורם במשותף.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בחודש </w:t>
      </w:r>
      <w:bookmarkStart w:id="2421" w:name="_ETM_Q_45817"/>
      <w:bookmarkEnd w:id="2421"/>
      <w:r>
        <w:rPr>
          <w:rFonts w:ascii="Arial" w:hAnsi="Arial" w:cs="David"/>
          <w:sz w:val="24"/>
          <w:szCs w:val="24"/>
          <w:u w:val="none"/>
          <w:rtl/>
        </w:rPr>
        <w:t xml:space="preserve">ינואר 2020, ביקשה התובעת לבטל את העסקה.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Pr="00503834" w:rsidRDefault="00503834" w:rsidP="00BB4B5B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התביעה עצמה הוגשה </w:t>
      </w:r>
      <w:bookmarkStart w:id="2422" w:name="_ETM_Q_53657"/>
      <w:bookmarkEnd w:id="2422"/>
      <w:r>
        <w:rPr>
          <w:rFonts w:ascii="Arial" w:hAnsi="Arial" w:cs="David"/>
          <w:sz w:val="24"/>
          <w:szCs w:val="24"/>
          <w:u w:val="none"/>
          <w:rtl/>
        </w:rPr>
        <w:t xml:space="preserve">ביום ה- 24 בנובמבר 2020. תביעת הביטול או יותר נכון, </w:t>
      </w:r>
      <w:bookmarkStart w:id="2423" w:name="_ETM_Q_62118"/>
      <w:bookmarkEnd w:id="2423"/>
      <w:r>
        <w:rPr>
          <w:rFonts w:ascii="Arial" w:hAnsi="Arial" w:cs="David"/>
          <w:sz w:val="24"/>
          <w:szCs w:val="24"/>
          <w:u w:val="none"/>
          <w:rtl/>
        </w:rPr>
        <w:t xml:space="preserve">בקשת הביטול שהוגשה באותה עת על ידי התובעת ללא </w:t>
      </w:r>
      <w:bookmarkStart w:id="2424" w:name="_ETM_Q_64002"/>
      <w:bookmarkEnd w:id="2424"/>
      <w:r>
        <w:rPr>
          <w:rFonts w:ascii="Arial" w:hAnsi="Arial" w:cs="David"/>
          <w:sz w:val="24"/>
          <w:szCs w:val="24"/>
          <w:u w:val="none"/>
          <w:rtl/>
        </w:rPr>
        <w:t xml:space="preserve">ייצוג אינה מעלה כל עילה, גם לא המסמכים שהוגשו </w:t>
      </w:r>
      <w:bookmarkStart w:id="2425" w:name="_ETM_Q_69327"/>
      <w:bookmarkEnd w:id="2425"/>
      <w:r>
        <w:rPr>
          <w:rFonts w:ascii="Arial" w:hAnsi="Arial" w:cs="David"/>
          <w:sz w:val="24"/>
          <w:szCs w:val="24"/>
          <w:u w:val="none"/>
          <w:rtl/>
        </w:rPr>
        <w:t xml:space="preserve">על ידי עורך הדין </w:t>
      </w:r>
      <w:r>
        <w:rPr>
          <w:rFonts w:ascii="Arial" w:hAnsi="Arial" w:cs="David" w:hint="cs"/>
          <w:sz w:val="24"/>
          <w:szCs w:val="24"/>
          <w:u w:val="none"/>
          <w:rtl/>
        </w:rPr>
        <w:t>---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 xml:space="preserve">שבהערת אגב יצוין, צורפו על </w:t>
      </w:r>
      <w:bookmarkStart w:id="2426" w:name="_ETM_Q_78418"/>
      <w:bookmarkEnd w:id="2426"/>
      <w:r>
        <w:rPr>
          <w:rFonts w:ascii="Arial" w:hAnsi="Arial" w:cs="David"/>
          <w:sz w:val="24"/>
          <w:szCs w:val="24"/>
          <w:u w:val="none"/>
          <w:rtl/>
        </w:rPr>
        <w:t xml:space="preserve">ידי הנתבעים בעיקרם וכאמור, לאור אי התייצבותם אין לי תצהירים </w:t>
      </w:r>
      <w:bookmarkStart w:id="2427" w:name="_ETM_Q_79672"/>
      <w:bookmarkEnd w:id="2427"/>
      <w:r>
        <w:rPr>
          <w:rFonts w:ascii="Arial" w:hAnsi="Arial" w:cs="David"/>
          <w:sz w:val="24"/>
          <w:szCs w:val="24"/>
          <w:u w:val="none"/>
          <w:rtl/>
        </w:rPr>
        <w:t>תקפים בפניי</w:t>
      </w:r>
      <w:r>
        <w:rPr>
          <w:rFonts w:ascii="Arial" w:hAnsi="Arial" w:cs="David" w:hint="cs"/>
          <w:sz w:val="24"/>
          <w:szCs w:val="24"/>
          <w:u w:val="none"/>
          <w:rtl/>
        </w:rPr>
        <w:t>).</w:t>
      </w:r>
      <w:r>
        <w:rPr>
          <w:rFonts w:ascii="Arial" w:hAnsi="Arial" w:cs="David"/>
          <w:sz w:val="24"/>
          <w:szCs w:val="24"/>
          <w:u w:val="none"/>
          <w:rtl/>
        </w:rPr>
        <w:t xml:space="preserve"> אבל גם אם אתייחס לדברים שנכתבו על ידם, </w:t>
      </w:r>
      <w:bookmarkStart w:id="2428" w:name="_ETM_Q_87821"/>
      <w:bookmarkEnd w:id="2428"/>
      <w:r>
        <w:rPr>
          <w:rFonts w:ascii="Arial" w:hAnsi="Arial" w:cs="David"/>
          <w:sz w:val="24"/>
          <w:szCs w:val="24"/>
          <w:u w:val="none"/>
          <w:rtl/>
        </w:rPr>
        <w:t>אינם מעלים בקשת ביטול תקפה כדין למעט חרטה.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טרם </w:t>
      </w:r>
      <w:bookmarkStart w:id="2429" w:name="_ETM_Q_101301"/>
      <w:bookmarkEnd w:id="2429"/>
      <w:r>
        <w:rPr>
          <w:rFonts w:ascii="Arial" w:hAnsi="Arial" w:cs="David"/>
          <w:sz w:val="24"/>
          <w:szCs w:val="24"/>
          <w:u w:val="none"/>
          <w:rtl/>
        </w:rPr>
        <w:t xml:space="preserve">שאדון במשמעות המשפטית של ייפוי הכוח הבלתי חוזר, יש להתייחס </w:t>
      </w:r>
      <w:bookmarkStart w:id="2430" w:name="_ETM_Q_108512"/>
      <w:bookmarkEnd w:id="2430"/>
      <w:r>
        <w:rPr>
          <w:rFonts w:ascii="Arial" w:hAnsi="Arial" w:cs="David"/>
          <w:sz w:val="24"/>
          <w:szCs w:val="24"/>
          <w:u w:val="none"/>
          <w:rtl/>
        </w:rPr>
        <w:t xml:space="preserve">לחקירת התובעת. </w:t>
      </w:r>
    </w:p>
    <w:p w:rsidR="00503834" w:rsidRPr="00BB4B5B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התובעת כיום בת 96. חקירתה הייתה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מ</w:t>
      </w:r>
      <w:r>
        <w:rPr>
          <w:rFonts w:ascii="Arial" w:hAnsi="Arial" w:cs="David" w:hint="cs"/>
          <w:sz w:val="24"/>
          <w:szCs w:val="24"/>
          <w:u w:val="none"/>
          <w:rtl/>
        </w:rPr>
        <w:t>כ</w:t>
      </w:r>
      <w:r>
        <w:rPr>
          <w:rFonts w:ascii="Arial" w:hAnsi="Arial" w:cs="David"/>
          <w:sz w:val="24"/>
          <w:szCs w:val="24"/>
          <w:u w:val="none"/>
          <w:rtl/>
        </w:rPr>
        <w:t>מירת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לב, </w:t>
      </w:r>
      <w:bookmarkStart w:id="2431" w:name="_ETM_Q_118858"/>
      <w:bookmarkEnd w:id="2431"/>
      <w:r>
        <w:rPr>
          <w:rFonts w:ascii="Arial" w:hAnsi="Arial" w:cs="David"/>
          <w:sz w:val="24"/>
          <w:szCs w:val="24"/>
          <w:u w:val="none"/>
          <w:rtl/>
        </w:rPr>
        <w:t xml:space="preserve">היא חזרה פעמים רבות מספור כי איננה זוכרת פרטים וגם </w:t>
      </w:r>
      <w:bookmarkStart w:id="2432" w:name="_ETM_Q_127009"/>
      <w:bookmarkEnd w:id="2432"/>
      <w:r>
        <w:rPr>
          <w:rFonts w:ascii="Arial" w:hAnsi="Arial" w:cs="David"/>
          <w:sz w:val="24"/>
          <w:szCs w:val="24"/>
          <w:u w:val="none"/>
          <w:rtl/>
        </w:rPr>
        <w:t>לא פרטים פשוטים. היא התקשתה להסביר מדוע הגישה את ההליך</w:t>
      </w:r>
      <w:bookmarkStart w:id="2433" w:name="_ETM_Q_133592"/>
      <w:bookmarkEnd w:id="2433"/>
      <w:r>
        <w:rPr>
          <w:rFonts w:ascii="Arial" w:hAnsi="Arial" w:cs="David"/>
          <w:sz w:val="24"/>
          <w:szCs w:val="24"/>
          <w:u w:val="none"/>
          <w:rtl/>
        </w:rPr>
        <w:t xml:space="preserve"> למעט חזרה שוב ושוב כי עשתה טעות. השימוש </w:t>
      </w:r>
      <w:bookmarkStart w:id="2434" w:name="_ETM_Q_136098"/>
      <w:bookmarkEnd w:id="2434"/>
      <w:r>
        <w:rPr>
          <w:rFonts w:ascii="Arial" w:hAnsi="Arial" w:cs="David"/>
          <w:sz w:val="24"/>
          <w:szCs w:val="24"/>
          <w:u w:val="none"/>
          <w:rtl/>
        </w:rPr>
        <w:t xml:space="preserve">במונח טעות חזר על עצמו גם בהליך הראשוני שהגישה שבו </w:t>
      </w:r>
      <w:bookmarkStart w:id="2435" w:name="_ETM_Q_146757"/>
      <w:bookmarkEnd w:id="2435"/>
      <w:r>
        <w:rPr>
          <w:rFonts w:ascii="Arial" w:hAnsi="Arial" w:cs="David"/>
          <w:sz w:val="24"/>
          <w:szCs w:val="24"/>
          <w:u w:val="none"/>
          <w:rtl/>
        </w:rPr>
        <w:t xml:space="preserve">ציינה מפורשות "וסברתי בטעות שמדובר בהעברות שייכנסו לתוקף </w:t>
      </w:r>
      <w:bookmarkStart w:id="2436" w:name="_ETM_Q_156473"/>
      <w:bookmarkEnd w:id="2436"/>
      <w:r>
        <w:rPr>
          <w:rFonts w:ascii="Arial" w:hAnsi="Arial" w:cs="David"/>
          <w:sz w:val="24"/>
          <w:szCs w:val="24"/>
          <w:u w:val="none"/>
          <w:rtl/>
        </w:rPr>
        <w:t xml:space="preserve">רק לאחר מותי. לאחר זמן קצר הבנתי את טעותי". </w:t>
      </w:r>
      <w:bookmarkStart w:id="2437" w:name="_ETM_Q_163683"/>
      <w:bookmarkEnd w:id="2437"/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בכל הנוגע לטענה כי מדובר בהעברות שייכנסו לתוקף רק לאחר </w:t>
      </w:r>
      <w:bookmarkStart w:id="2438" w:name="_ETM_Q_171206"/>
      <w:bookmarkEnd w:id="2438"/>
      <w:r>
        <w:rPr>
          <w:rFonts w:ascii="Arial" w:hAnsi="Arial" w:cs="David"/>
          <w:sz w:val="24"/>
          <w:szCs w:val="24"/>
          <w:u w:val="none"/>
          <w:rtl/>
        </w:rPr>
        <w:t xml:space="preserve">פטירתה של התובעת וכאשר בית המשפט מאחל לה כמובן </w:t>
      </w:r>
      <w:bookmarkStart w:id="2439" w:name="_ETM_Q_174652"/>
      <w:bookmarkEnd w:id="2439"/>
      <w:r>
        <w:rPr>
          <w:rFonts w:ascii="Arial" w:hAnsi="Arial" w:cs="David"/>
          <w:sz w:val="24"/>
          <w:szCs w:val="24"/>
          <w:u w:val="none"/>
          <w:rtl/>
        </w:rPr>
        <w:t xml:space="preserve">עד 120, אין לכך כל אחיזה באף אחד משלל המסמכים </w:t>
      </w:r>
      <w:bookmarkStart w:id="2440" w:name="_ETM_Q_182804"/>
      <w:bookmarkEnd w:id="2440"/>
      <w:r>
        <w:rPr>
          <w:rFonts w:ascii="Arial" w:hAnsi="Arial" w:cs="David"/>
          <w:sz w:val="24"/>
          <w:szCs w:val="24"/>
          <w:u w:val="none"/>
          <w:rtl/>
        </w:rPr>
        <w:t xml:space="preserve">אשר נחתמו. אין לכך גם כל אחיזה בראייה אחרת או </w:t>
      </w:r>
      <w:bookmarkStart w:id="2441" w:name="_ETM_Q_187821"/>
      <w:bookmarkEnd w:id="2441"/>
      <w:r>
        <w:rPr>
          <w:rFonts w:ascii="Arial" w:hAnsi="Arial" w:cs="David"/>
          <w:sz w:val="24"/>
          <w:szCs w:val="24"/>
          <w:u w:val="none"/>
          <w:rtl/>
        </w:rPr>
        <w:t xml:space="preserve">בעדות אחרת מזמן אמת שהתובעת יכלה להביא.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טענה נוספת שהועלתה </w:t>
      </w:r>
      <w:bookmarkStart w:id="2442" w:name="_ETM_Q_196911"/>
      <w:bookmarkEnd w:id="2442"/>
      <w:r>
        <w:rPr>
          <w:rFonts w:ascii="Arial" w:hAnsi="Arial" w:cs="David"/>
          <w:sz w:val="24"/>
          <w:szCs w:val="24"/>
          <w:u w:val="none"/>
          <w:rtl/>
        </w:rPr>
        <w:t xml:space="preserve">על ידי התובעת בחלק ממסמכיה והן בעדות היום היא טענה </w:t>
      </w:r>
      <w:bookmarkStart w:id="2443" w:name="_ETM_Q_203806"/>
      <w:bookmarkEnd w:id="2443"/>
      <w:r>
        <w:rPr>
          <w:rFonts w:ascii="Arial" w:hAnsi="Arial" w:cs="David"/>
          <w:sz w:val="24"/>
          <w:szCs w:val="24"/>
          <w:u w:val="none"/>
          <w:rtl/>
        </w:rPr>
        <w:t xml:space="preserve">לגבי טעות הקשורה לא לנכדים אלא, לאביהם </w:t>
      </w:r>
      <w:r>
        <w:rPr>
          <w:rFonts w:ascii="Arial" w:hAnsi="Arial" w:cs="David" w:hint="cs"/>
          <w:sz w:val="24"/>
          <w:szCs w:val="24"/>
          <w:u w:val="none"/>
          <w:rtl/>
        </w:rPr>
        <w:t>***</w:t>
      </w:r>
      <w:r>
        <w:rPr>
          <w:rFonts w:ascii="Arial" w:hAnsi="Arial" w:cs="David"/>
          <w:sz w:val="24"/>
          <w:szCs w:val="24"/>
          <w:u w:val="none"/>
          <w:rtl/>
        </w:rPr>
        <w:t xml:space="preserve"> והיא טענה </w:t>
      </w:r>
      <w:bookmarkStart w:id="2444" w:name="_ETM_Q_212899"/>
      <w:bookmarkEnd w:id="2444"/>
      <w:r>
        <w:rPr>
          <w:rFonts w:ascii="Arial" w:hAnsi="Arial" w:cs="David"/>
          <w:sz w:val="24"/>
          <w:szCs w:val="24"/>
          <w:u w:val="none"/>
          <w:rtl/>
        </w:rPr>
        <w:t>כי היה הסכמות כלשהן לגבי הלוואה שקשורה ל</w:t>
      </w:r>
      <w:r>
        <w:rPr>
          <w:rFonts w:ascii="Arial" w:hAnsi="Arial" w:cs="David" w:hint="cs"/>
          <w:sz w:val="24"/>
          <w:szCs w:val="24"/>
          <w:u w:val="none"/>
          <w:rtl/>
        </w:rPr>
        <w:t>***</w:t>
      </w:r>
      <w:r>
        <w:rPr>
          <w:rFonts w:ascii="Arial" w:hAnsi="Arial" w:cs="David"/>
          <w:sz w:val="24"/>
          <w:szCs w:val="24"/>
          <w:u w:val="none"/>
          <w:rtl/>
        </w:rPr>
        <w:t xml:space="preserve">. גם </w:t>
      </w:r>
      <w:bookmarkStart w:id="2445" w:name="_ETM_Q_221675"/>
      <w:bookmarkEnd w:id="2445"/>
      <w:r>
        <w:rPr>
          <w:rFonts w:ascii="Arial" w:hAnsi="Arial" w:cs="David"/>
          <w:sz w:val="24"/>
          <w:szCs w:val="24"/>
          <w:u w:val="none"/>
          <w:rtl/>
        </w:rPr>
        <w:t xml:space="preserve">בעניין זה, אין כל אישוש בראייה חיצונית לא בכתב או </w:t>
      </w:r>
      <w:bookmarkStart w:id="2446" w:name="_ETM_Q_228570"/>
      <w:bookmarkEnd w:id="2446"/>
      <w:r>
        <w:rPr>
          <w:rFonts w:ascii="Arial" w:hAnsi="Arial" w:cs="David"/>
          <w:sz w:val="24"/>
          <w:szCs w:val="24"/>
          <w:u w:val="none"/>
          <w:rtl/>
        </w:rPr>
        <w:t xml:space="preserve">באופן אחר או מזמן אמת. על כן, יש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לכך </w:t>
      </w:r>
      <w:bookmarkStart w:id="2447" w:name="_ETM_Q_235471"/>
      <w:bookmarkEnd w:id="2447"/>
      <w:r>
        <w:rPr>
          <w:rFonts w:ascii="Arial" w:hAnsi="Arial" w:cs="David"/>
          <w:sz w:val="24"/>
          <w:szCs w:val="24"/>
          <w:u w:val="none"/>
          <w:rtl/>
        </w:rPr>
        <w:t>את המשקל המתאים</w:t>
      </w:r>
      <w:r>
        <w:rPr>
          <w:rFonts w:ascii="Arial" w:hAnsi="Arial" w:cs="David" w:hint="cs"/>
          <w:sz w:val="24"/>
          <w:szCs w:val="24"/>
          <w:u w:val="none"/>
          <w:rtl/>
        </w:rPr>
        <w:t>.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וכאמור, שתי הטענות המרכזיות לגבי הטעויות, לא </w:t>
      </w:r>
      <w:bookmarkStart w:id="2448" w:name="_ETM_Q_239855"/>
      <w:bookmarkEnd w:id="2448"/>
      <w:r>
        <w:rPr>
          <w:rFonts w:ascii="Arial" w:hAnsi="Arial" w:cs="David"/>
          <w:sz w:val="24"/>
          <w:szCs w:val="24"/>
          <w:u w:val="none"/>
          <w:rtl/>
        </w:rPr>
        <w:t>מצאתי כי יש להן מבחינה משפטית מענה לא על פי</w:t>
      </w:r>
      <w:bookmarkStart w:id="2449" w:name="_ETM_Q_250515"/>
      <w:bookmarkEnd w:id="2449"/>
      <w:r>
        <w:rPr>
          <w:rFonts w:ascii="Arial" w:hAnsi="Arial" w:cs="David"/>
          <w:sz w:val="24"/>
          <w:szCs w:val="24"/>
          <w:u w:val="none"/>
          <w:rtl/>
        </w:rPr>
        <w:t xml:space="preserve"> חוק החוזים ולא על פי חוק המתנה. </w:t>
      </w:r>
    </w:p>
    <w:p w:rsidR="00503834" w:rsidRPr="00BB4B5B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יצוין כי מספר </w:t>
      </w:r>
      <w:bookmarkStart w:id="2450" w:name="_ETM_Q_265558"/>
      <w:bookmarkEnd w:id="2450"/>
      <w:r>
        <w:rPr>
          <w:rFonts w:ascii="Arial" w:hAnsi="Arial" w:cs="David"/>
          <w:sz w:val="24"/>
          <w:szCs w:val="24"/>
          <w:u w:val="none"/>
          <w:rtl/>
        </w:rPr>
        <w:t xml:space="preserve">עדים משמעותיים נמנעו שני הצדדים מלהביא לעדות ויש לכך משקל </w:t>
      </w:r>
      <w:bookmarkStart w:id="2451" w:name="_ETM_Q_273396"/>
      <w:bookmarkEnd w:id="2451"/>
      <w:r>
        <w:rPr>
          <w:rFonts w:ascii="Arial" w:hAnsi="Arial" w:cs="David"/>
          <w:sz w:val="24"/>
          <w:szCs w:val="24"/>
          <w:u w:val="none"/>
          <w:rtl/>
        </w:rPr>
        <w:t xml:space="preserve">מהותי. איש מהצדדים לא הזמין לעדות את עורך הדין </w:t>
      </w:r>
      <w:bookmarkStart w:id="2452" w:name="_ETM_Q_274650"/>
      <w:bookmarkEnd w:id="2452"/>
      <w:r>
        <w:rPr>
          <w:rFonts w:ascii="Arial" w:hAnsi="Arial" w:cs="David" w:hint="cs"/>
          <w:sz w:val="24"/>
          <w:szCs w:val="24"/>
          <w:u w:val="none"/>
          <w:rtl/>
        </w:rPr>
        <w:t>---</w:t>
      </w:r>
      <w:r>
        <w:rPr>
          <w:rFonts w:ascii="Arial" w:hAnsi="Arial" w:cs="David"/>
          <w:sz w:val="24"/>
          <w:szCs w:val="24"/>
          <w:u w:val="none"/>
          <w:rtl/>
        </w:rPr>
        <w:t xml:space="preserve"> אשר ייצג את כל הצדדים בעסקה ויכול היה לשפוך </w:t>
      </w:r>
      <w:bookmarkStart w:id="2453" w:name="_ETM_Q_282174"/>
      <w:bookmarkEnd w:id="2453"/>
      <w:r>
        <w:rPr>
          <w:rFonts w:ascii="Arial" w:hAnsi="Arial" w:cs="David"/>
          <w:sz w:val="24"/>
          <w:szCs w:val="24"/>
          <w:u w:val="none"/>
          <w:rtl/>
        </w:rPr>
        <w:t>אור מהותי חשוב ונדרש לגבי ההליכים בין הצדדים וכוונותיהם. א</w:t>
      </w:r>
      <w:bookmarkStart w:id="2454" w:name="_ETM_Q_292519"/>
      <w:bookmarkEnd w:id="2454"/>
      <w:r>
        <w:rPr>
          <w:rFonts w:ascii="Arial" w:hAnsi="Arial" w:cs="David"/>
          <w:sz w:val="24"/>
          <w:szCs w:val="24"/>
          <w:u w:val="none"/>
          <w:rtl/>
        </w:rPr>
        <w:t xml:space="preserve">יש מהצדדים לא ביקש להזמין ולא הביא מטעמו לא את הבן </w:t>
      </w:r>
      <w:bookmarkStart w:id="2455" w:name="_ETM_Q_297534"/>
      <w:bookmarkEnd w:id="2455"/>
      <w:r>
        <w:rPr>
          <w:rFonts w:ascii="Arial" w:hAnsi="Arial" w:cs="David" w:hint="cs"/>
          <w:sz w:val="24"/>
          <w:szCs w:val="24"/>
          <w:u w:val="none"/>
          <w:rtl/>
        </w:rPr>
        <w:t>***</w:t>
      </w:r>
      <w:r>
        <w:rPr>
          <w:rFonts w:ascii="Arial" w:hAnsi="Arial" w:cs="David"/>
          <w:sz w:val="24"/>
          <w:szCs w:val="24"/>
          <w:u w:val="none"/>
          <w:rtl/>
        </w:rPr>
        <w:t xml:space="preserve"> ולא את הבת </w:t>
      </w:r>
      <w:r>
        <w:rPr>
          <w:rFonts w:ascii="Arial" w:hAnsi="Arial" w:cs="David" w:hint="cs"/>
          <w:sz w:val="24"/>
          <w:szCs w:val="24"/>
          <w:u w:val="none"/>
          <w:rtl/>
        </w:rPr>
        <w:t>***</w:t>
      </w:r>
      <w:r>
        <w:rPr>
          <w:rFonts w:ascii="Arial" w:hAnsi="Arial" w:cs="David"/>
          <w:sz w:val="24"/>
          <w:szCs w:val="24"/>
          <w:u w:val="none"/>
          <w:rtl/>
        </w:rPr>
        <w:t xml:space="preserve"> על אף שכאמור, יש להתנהלות </w:t>
      </w:r>
      <w:bookmarkStart w:id="2456" w:name="_ETM_Q_306310"/>
      <w:bookmarkEnd w:id="2456"/>
      <w:r>
        <w:rPr>
          <w:rFonts w:ascii="Arial" w:hAnsi="Arial" w:cs="David"/>
          <w:sz w:val="24"/>
          <w:szCs w:val="24"/>
          <w:u w:val="none"/>
          <w:rtl/>
        </w:rPr>
        <w:t xml:space="preserve">שלהם ולקשר שלהם להליך קשר רב ביותר.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מאחר והנטל </w:t>
      </w:r>
      <w:bookmarkStart w:id="2457" w:name="_ETM_Q_316658"/>
      <w:bookmarkEnd w:id="2457"/>
      <w:r>
        <w:rPr>
          <w:rFonts w:ascii="Arial" w:hAnsi="Arial" w:cs="David"/>
          <w:sz w:val="24"/>
          <w:szCs w:val="24"/>
          <w:u w:val="none"/>
          <w:rtl/>
        </w:rPr>
        <w:t xml:space="preserve">הוא על התובעת להוכיח את תביעתה, הימנעות מהבאת העדים </w:t>
      </w:r>
      <w:bookmarkStart w:id="2458" w:name="_ETM_Q_324492"/>
      <w:bookmarkEnd w:id="2458"/>
      <w:r>
        <w:rPr>
          <w:rFonts w:ascii="Arial" w:hAnsi="Arial" w:cs="David"/>
          <w:sz w:val="24"/>
          <w:szCs w:val="24"/>
          <w:u w:val="none"/>
          <w:rtl/>
        </w:rPr>
        <w:t xml:space="preserve">וגם בקשה מלהזמין למשל לעדות את הבן </w:t>
      </w:r>
      <w:r>
        <w:rPr>
          <w:rFonts w:ascii="Arial" w:hAnsi="Arial" w:cs="David" w:hint="cs"/>
          <w:sz w:val="24"/>
          <w:szCs w:val="24"/>
          <w:u w:val="none"/>
          <w:rtl/>
        </w:rPr>
        <w:t>***</w:t>
      </w:r>
      <w:r>
        <w:rPr>
          <w:rFonts w:ascii="Arial" w:hAnsi="Arial" w:cs="David"/>
          <w:sz w:val="24"/>
          <w:szCs w:val="24"/>
          <w:u w:val="none"/>
          <w:rtl/>
        </w:rPr>
        <w:t xml:space="preserve"> יכולה הייתה </w:t>
      </w:r>
      <w:bookmarkStart w:id="2459" w:name="_ETM_Q_330134"/>
      <w:bookmarkEnd w:id="2459"/>
      <w:r>
        <w:rPr>
          <w:rFonts w:ascii="Arial" w:hAnsi="Arial" w:cs="David"/>
          <w:sz w:val="24"/>
          <w:szCs w:val="24"/>
          <w:u w:val="none"/>
          <w:rtl/>
        </w:rPr>
        <w:t xml:space="preserve">לסייע בהוכחת טענותיה. ההימנעות מהבאת עדים שיכולים לסייע לבעל דין </w:t>
      </w:r>
      <w:bookmarkStart w:id="2460" w:name="_ETM_Q_338288"/>
      <w:bookmarkEnd w:id="2460"/>
      <w:r>
        <w:rPr>
          <w:rFonts w:ascii="Arial" w:hAnsi="Arial" w:cs="David"/>
          <w:sz w:val="24"/>
          <w:szCs w:val="24"/>
          <w:u w:val="none"/>
          <w:rtl/>
        </w:rPr>
        <w:t xml:space="preserve">פועלת כנגדו על פי הפסיקה.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טענה נוספת שהועלתה קשורה להתנהגות </w:t>
      </w:r>
      <w:bookmarkStart w:id="2461" w:name="_ETM_Q_348320"/>
      <w:bookmarkEnd w:id="2461"/>
      <w:r>
        <w:rPr>
          <w:rFonts w:ascii="Arial" w:hAnsi="Arial" w:cs="David"/>
          <w:sz w:val="24"/>
          <w:szCs w:val="24"/>
          <w:u w:val="none"/>
          <w:rtl/>
        </w:rPr>
        <w:t xml:space="preserve">מחפירה של הנכדים כלפי התובעת. בעניין זה ועל אף ביקורת </w:t>
      </w:r>
      <w:bookmarkStart w:id="2462" w:name="_ETM_Q_354589"/>
      <w:bookmarkEnd w:id="2462"/>
      <w:r>
        <w:rPr>
          <w:rFonts w:ascii="Arial" w:hAnsi="Arial" w:cs="David"/>
          <w:sz w:val="24"/>
          <w:szCs w:val="24"/>
          <w:u w:val="none"/>
          <w:rtl/>
        </w:rPr>
        <w:t xml:space="preserve">רבה שבית משפט זה העביר על התנהלות הנתבעים בהליך זה </w:t>
      </w:r>
      <w:bookmarkStart w:id="2463" w:name="_ETM_Q_359914"/>
      <w:bookmarkEnd w:id="2463"/>
      <w:r>
        <w:rPr>
          <w:rFonts w:ascii="Arial" w:hAnsi="Arial" w:cs="David"/>
          <w:sz w:val="24"/>
          <w:szCs w:val="24"/>
          <w:u w:val="none"/>
          <w:rtl/>
        </w:rPr>
        <w:t xml:space="preserve">אציין כי לא נמצאה אותה התנהגות מחפירה של הנתבעים לפני </w:t>
      </w:r>
      <w:bookmarkStart w:id="2464" w:name="_ETM_Q_365870"/>
      <w:bookmarkEnd w:id="2464"/>
      <w:r>
        <w:rPr>
          <w:rFonts w:ascii="Arial" w:hAnsi="Arial" w:cs="David"/>
          <w:sz w:val="24"/>
          <w:szCs w:val="24"/>
          <w:u w:val="none"/>
          <w:rtl/>
        </w:rPr>
        <w:t xml:space="preserve">התביעה כלפי התובעת כלל. אין מקום להפוך את היוצרות ולטעון </w:t>
      </w:r>
      <w:bookmarkStart w:id="2465" w:name="_ETM_Q_374020"/>
      <w:bookmarkEnd w:id="2465"/>
      <w:r>
        <w:rPr>
          <w:rFonts w:ascii="Arial" w:hAnsi="Arial" w:cs="David"/>
          <w:sz w:val="24"/>
          <w:szCs w:val="24"/>
          <w:u w:val="none"/>
          <w:rtl/>
        </w:rPr>
        <w:t xml:space="preserve">כלפי הנתבעים שהתנהגו באופן מחפיר בשל הגשת התביעה, כי הדבר </w:t>
      </w:r>
      <w:bookmarkStart w:id="2466" w:name="_ETM_Q_378724"/>
      <w:bookmarkEnd w:id="2466"/>
      <w:r>
        <w:rPr>
          <w:rFonts w:ascii="Arial" w:hAnsi="Arial" w:cs="David"/>
          <w:sz w:val="24"/>
          <w:szCs w:val="24"/>
          <w:u w:val="none"/>
          <w:rtl/>
        </w:rPr>
        <w:t xml:space="preserve">עונה על התנאים הנדרשים בחוק. החוק דורש כי ראשית לכל, </w:t>
      </w:r>
      <w:bookmarkStart w:id="2467" w:name="_ETM_Q_383741"/>
      <w:bookmarkEnd w:id="2467"/>
      <w:r>
        <w:rPr>
          <w:rFonts w:ascii="Arial" w:hAnsi="Arial" w:cs="David"/>
          <w:sz w:val="24"/>
          <w:szCs w:val="24"/>
          <w:u w:val="none"/>
          <w:rtl/>
        </w:rPr>
        <w:t xml:space="preserve">תהיה התנהגות מחפירה לצורך ביטול המתנה. בענייננו, נדמה כי התובעת </w:t>
      </w:r>
      <w:bookmarkStart w:id="2468" w:name="_ETM_Q_390635"/>
      <w:bookmarkEnd w:id="2468"/>
      <w:r>
        <w:rPr>
          <w:rFonts w:ascii="Arial" w:hAnsi="Arial" w:cs="David"/>
          <w:sz w:val="24"/>
          <w:szCs w:val="24"/>
          <w:u w:val="none"/>
          <w:rtl/>
        </w:rPr>
        <w:t xml:space="preserve">בעניין זה ניסתה להפוך את היוצרות.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יתרה מכך, הובאו ראיות </w:t>
      </w:r>
      <w:bookmarkStart w:id="2469" w:name="_ETM_Q_398470"/>
      <w:bookmarkEnd w:id="2469"/>
      <w:r>
        <w:rPr>
          <w:rFonts w:ascii="Arial" w:hAnsi="Arial" w:cs="David"/>
          <w:sz w:val="24"/>
          <w:szCs w:val="24"/>
          <w:u w:val="none"/>
          <w:rtl/>
        </w:rPr>
        <w:t xml:space="preserve">הדדיות המעידות כי היה קשר וקשר חם, בפרט עם </w:t>
      </w:r>
      <w:bookmarkStart w:id="2470" w:name="_ETM_Q_406937"/>
      <w:bookmarkEnd w:id="2470"/>
      <w:r>
        <w:rPr>
          <w:rFonts w:ascii="Arial" w:hAnsi="Arial" w:cs="David"/>
          <w:sz w:val="24"/>
          <w:szCs w:val="24"/>
          <w:u w:val="none"/>
          <w:rtl/>
        </w:rPr>
        <w:t xml:space="preserve">שתי הנכדות, זאת גם ניתן היה להתרשם באופן בלתי אמצעי </w:t>
      </w:r>
      <w:bookmarkStart w:id="2471" w:name="_ETM_Q_408506"/>
      <w:bookmarkEnd w:id="2471"/>
      <w:r>
        <w:rPr>
          <w:rFonts w:ascii="Arial" w:hAnsi="Arial" w:cs="David"/>
          <w:sz w:val="24"/>
          <w:szCs w:val="24"/>
          <w:u w:val="none"/>
          <w:rtl/>
        </w:rPr>
        <w:t>בדיון אליו התייצבו.</w:t>
      </w:r>
    </w:p>
    <w:p w:rsidR="00503834" w:rsidRPr="00BB4B5B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טענה להתנהגות מחפירה היא טענה קשה שיש </w:t>
      </w:r>
      <w:bookmarkStart w:id="2472" w:name="_ETM_Q_418533"/>
      <w:bookmarkEnd w:id="2472"/>
      <w:proofErr w:type="spellStart"/>
      <w:r>
        <w:rPr>
          <w:rFonts w:ascii="Arial" w:hAnsi="Arial" w:cs="David"/>
          <w:sz w:val="24"/>
          <w:szCs w:val="24"/>
          <w:u w:val="none"/>
          <w:rtl/>
        </w:rPr>
        <w:t>להוכיחה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בראיות פוזיטיביות ברורות מזמן אמת וגם זאת </w:t>
      </w:r>
      <w:bookmarkStart w:id="2473" w:name="_ETM_Q_423551"/>
      <w:bookmarkEnd w:id="2473"/>
      <w:r>
        <w:rPr>
          <w:rFonts w:ascii="Arial" w:hAnsi="Arial" w:cs="David"/>
          <w:sz w:val="24"/>
          <w:szCs w:val="24"/>
          <w:u w:val="none"/>
          <w:rtl/>
        </w:rPr>
        <w:t>לא עשתה התובעת.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lastRenderedPageBreak/>
        <w:t xml:space="preserve">בכל הנוגע לייפוי הכוח הבלתי חוזר, </w:t>
      </w:r>
      <w:bookmarkStart w:id="2474" w:name="_ETM_Q_436409"/>
      <w:bookmarkEnd w:id="2474"/>
      <w:r>
        <w:rPr>
          <w:rFonts w:ascii="Arial" w:hAnsi="Arial" w:cs="David"/>
          <w:sz w:val="24"/>
          <w:szCs w:val="24"/>
          <w:u w:val="none"/>
          <w:rtl/>
        </w:rPr>
        <w:t xml:space="preserve">הוא בעל משמעות עובדתית ומשפטית. ייפוי הכוח חתמו עליו בנוסחים </w:t>
      </w:r>
      <w:bookmarkStart w:id="2475" w:name="_ETM_Q_446745"/>
      <w:bookmarkEnd w:id="2475"/>
      <w:r>
        <w:rPr>
          <w:rFonts w:ascii="Arial" w:hAnsi="Arial" w:cs="David"/>
          <w:sz w:val="24"/>
          <w:szCs w:val="24"/>
          <w:u w:val="none"/>
          <w:rtl/>
        </w:rPr>
        <w:t xml:space="preserve">כמובן מותאמים כל הצדדים כולם. בייפוי הכוח של התובעת </w:t>
      </w:r>
      <w:bookmarkStart w:id="2476" w:name="_ETM_Q_455521"/>
      <w:bookmarkEnd w:id="2476"/>
      <w:r>
        <w:rPr>
          <w:rFonts w:ascii="Arial" w:hAnsi="Arial" w:cs="David"/>
          <w:sz w:val="24"/>
          <w:szCs w:val="24"/>
          <w:u w:val="none"/>
          <w:rtl/>
        </w:rPr>
        <w:t>היא מציינת בראשיתו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אני החתומה מטה </w:t>
      </w:r>
      <w:r>
        <w:rPr>
          <w:rFonts w:ascii="Arial" w:hAnsi="Arial" w:cs="David" w:hint="cs"/>
          <w:sz w:val="24"/>
          <w:szCs w:val="24"/>
          <w:u w:val="none"/>
          <w:rtl/>
        </w:rPr>
        <w:t>*******</w:t>
      </w:r>
      <w:r>
        <w:rPr>
          <w:rFonts w:ascii="Arial" w:hAnsi="Arial" w:cs="David"/>
          <w:sz w:val="24"/>
          <w:szCs w:val="24"/>
          <w:u w:val="none"/>
          <w:rtl/>
        </w:rPr>
        <w:t xml:space="preserve"> להלן המעבירה, </w:t>
      </w:r>
      <w:bookmarkStart w:id="2477" w:name="_ETM_Q_464298"/>
      <w:bookmarkEnd w:id="2477"/>
      <w:r>
        <w:rPr>
          <w:rFonts w:ascii="Arial" w:hAnsi="Arial" w:cs="David"/>
          <w:sz w:val="24"/>
          <w:szCs w:val="24"/>
          <w:u w:val="none"/>
          <w:rtl/>
        </w:rPr>
        <w:t>חתמתי על בקשה להעברת הדירה,</w:t>
      </w:r>
      <w:r>
        <w:rPr>
          <w:rFonts w:ascii="Arial" w:hAnsi="Arial" w:cs="David" w:hint="cs"/>
          <w:sz w:val="24"/>
          <w:szCs w:val="24"/>
          <w:u w:val="none"/>
          <w:rtl/>
        </w:rPr>
        <w:t>[..]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>עם פרטי הדירה</w:t>
      </w:r>
      <w:r>
        <w:rPr>
          <w:rFonts w:ascii="Arial" w:hAnsi="Arial" w:cs="David" w:hint="cs"/>
          <w:sz w:val="24"/>
          <w:szCs w:val="24"/>
          <w:u w:val="none"/>
          <w:rtl/>
        </w:rPr>
        <w:t>)</w:t>
      </w:r>
      <w:r>
        <w:rPr>
          <w:rFonts w:ascii="Arial" w:hAnsi="Arial" w:cs="David"/>
          <w:sz w:val="24"/>
          <w:szCs w:val="24"/>
          <w:u w:val="none"/>
          <w:rtl/>
        </w:rPr>
        <w:t xml:space="preserve">, לשלושת </w:t>
      </w:r>
      <w:bookmarkStart w:id="2478" w:name="_ETM_Q_464929"/>
      <w:bookmarkEnd w:id="2478"/>
      <w:r>
        <w:rPr>
          <w:rFonts w:ascii="Arial" w:hAnsi="Arial" w:cs="David"/>
          <w:sz w:val="24"/>
          <w:szCs w:val="24"/>
          <w:u w:val="none"/>
          <w:rtl/>
        </w:rPr>
        <w:t>נכדיי,</w:t>
      </w:r>
      <w:r>
        <w:rPr>
          <w:rFonts w:ascii="Arial" w:hAnsi="Arial" w:cs="David" w:hint="cs"/>
          <w:sz w:val="24"/>
          <w:szCs w:val="24"/>
          <w:u w:val="none"/>
          <w:rtl/>
        </w:rPr>
        <w:t xml:space="preserve"> [..]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>עם פרטי שלושת הנכדים</w:t>
      </w:r>
      <w:r>
        <w:rPr>
          <w:rFonts w:ascii="Arial" w:hAnsi="Arial" w:cs="David" w:hint="cs"/>
          <w:sz w:val="24"/>
          <w:szCs w:val="24"/>
          <w:u w:val="none"/>
          <w:rtl/>
        </w:rPr>
        <w:t>)</w:t>
      </w:r>
      <w:r>
        <w:rPr>
          <w:rFonts w:ascii="Arial" w:hAnsi="Arial" w:cs="David"/>
          <w:sz w:val="24"/>
          <w:szCs w:val="24"/>
          <w:u w:val="none"/>
          <w:rtl/>
        </w:rPr>
        <w:t>, בחלקים שווים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. היא מציינת </w:t>
      </w:r>
      <w:bookmarkStart w:id="2479" w:name="_ETM_Q_470569"/>
      <w:bookmarkEnd w:id="2479"/>
      <w:r>
        <w:rPr>
          <w:rFonts w:ascii="Arial" w:hAnsi="Arial" w:cs="David"/>
          <w:sz w:val="24"/>
          <w:szCs w:val="24"/>
          <w:u w:val="none"/>
          <w:rtl/>
        </w:rPr>
        <w:t>כי ייפוי הכוח הבלתי חוזר נועד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"[..]</w:t>
      </w:r>
      <w:r>
        <w:rPr>
          <w:rFonts w:ascii="Arial" w:hAnsi="Arial" w:cs="David"/>
          <w:sz w:val="24"/>
          <w:szCs w:val="24"/>
          <w:u w:val="none"/>
          <w:rtl/>
        </w:rPr>
        <w:t xml:space="preserve">לשם ביצוע העברה, יש </w:t>
      </w:r>
      <w:bookmarkStart w:id="2480" w:name="_ETM_Q_477782"/>
      <w:bookmarkEnd w:id="2480"/>
      <w:r>
        <w:rPr>
          <w:rFonts w:ascii="Arial" w:hAnsi="Arial" w:cs="David"/>
          <w:sz w:val="24"/>
          <w:szCs w:val="24"/>
          <w:u w:val="none"/>
          <w:rtl/>
        </w:rPr>
        <w:t xml:space="preserve">לעשות פעולות שונות על כן, אני המעבירה ממנה בזה את </w:t>
      </w:r>
      <w:bookmarkStart w:id="2481" w:name="_ETM_Q_484364"/>
      <w:bookmarkEnd w:id="2481"/>
      <w:r>
        <w:rPr>
          <w:rFonts w:ascii="Arial" w:hAnsi="Arial" w:cs="David"/>
          <w:sz w:val="24"/>
          <w:szCs w:val="24"/>
          <w:u w:val="none"/>
          <w:rtl/>
        </w:rPr>
        <w:t xml:space="preserve">עורך הדין </w:t>
      </w:r>
      <w:r>
        <w:rPr>
          <w:rFonts w:ascii="Arial" w:hAnsi="Arial" w:cs="David" w:hint="cs"/>
          <w:sz w:val="24"/>
          <w:szCs w:val="24"/>
          <w:u w:val="none"/>
          <w:rtl/>
        </w:rPr>
        <w:t>---</w:t>
      </w:r>
      <w:r>
        <w:rPr>
          <w:rFonts w:ascii="Arial" w:hAnsi="Arial" w:cs="David"/>
          <w:sz w:val="24"/>
          <w:szCs w:val="24"/>
          <w:u w:val="none"/>
          <w:rtl/>
        </w:rPr>
        <w:t xml:space="preserve"> לעשות בשמי ובמקומי את הפעולות הבאות </w:t>
      </w:r>
      <w:bookmarkStart w:id="2482" w:name="_ETM_Q_491259"/>
      <w:bookmarkEnd w:id="2482"/>
      <w:r>
        <w:rPr>
          <w:rFonts w:ascii="Arial" w:hAnsi="Arial" w:cs="David"/>
          <w:sz w:val="24"/>
          <w:szCs w:val="24"/>
          <w:u w:val="none"/>
          <w:rtl/>
        </w:rPr>
        <w:t>או חלק מהן</w:t>
      </w:r>
      <w:r>
        <w:rPr>
          <w:rFonts w:ascii="Arial" w:hAnsi="Arial" w:cs="David" w:hint="cs"/>
          <w:sz w:val="24"/>
          <w:szCs w:val="24"/>
          <w:u w:val="none"/>
          <w:rtl/>
        </w:rPr>
        <w:t>".</w:t>
      </w:r>
      <w:r>
        <w:rPr>
          <w:rFonts w:ascii="Arial" w:hAnsi="Arial" w:cs="David"/>
          <w:sz w:val="24"/>
          <w:szCs w:val="24"/>
          <w:u w:val="none"/>
          <w:rtl/>
        </w:rPr>
        <w:t xml:space="preserve"> ומצוין מפורשות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להעביר ללא תמורה למקבלי ההעברה </w:t>
      </w:r>
      <w:bookmarkStart w:id="2483" w:name="_ETM_Q_498780"/>
      <w:bookmarkEnd w:id="2483"/>
      <w:r>
        <w:rPr>
          <w:rFonts w:ascii="Arial" w:hAnsi="Arial" w:cs="David"/>
          <w:sz w:val="24"/>
          <w:szCs w:val="24"/>
          <w:u w:val="none"/>
          <w:rtl/>
        </w:rPr>
        <w:t>את הדירה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>. בסעיף 15 לייפוי הכוח הבלתי חוזר מצוין מפורשות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bookmarkStart w:id="2484" w:name="_ETM_Q_508188"/>
      <w:bookmarkEnd w:id="2484"/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ייפוי כוח והרשאה זה הינו החלטי ובלתי חוזר ואין אני </w:t>
      </w:r>
      <w:bookmarkStart w:id="2485" w:name="_ETM_Q_514454"/>
      <w:bookmarkEnd w:id="2485"/>
      <w:r>
        <w:rPr>
          <w:rFonts w:ascii="Arial" w:hAnsi="Arial" w:cs="David"/>
          <w:sz w:val="24"/>
          <w:szCs w:val="24"/>
          <w:u w:val="none"/>
          <w:rtl/>
        </w:rPr>
        <w:t>רשאי לבטלו ו/או לשנותו באיזה אופן שהוא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. לאחר מכן, יש </w:t>
      </w:r>
      <w:bookmarkStart w:id="2486" w:name="_ETM_Q_521980"/>
      <w:bookmarkEnd w:id="2486"/>
      <w:r>
        <w:rPr>
          <w:rFonts w:ascii="Arial" w:hAnsi="Arial" w:cs="David"/>
          <w:sz w:val="24"/>
          <w:szCs w:val="24"/>
          <w:u w:val="none"/>
          <w:rtl/>
        </w:rPr>
        <w:t>גם הסבר לכך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>הואיל וקשורות ותלויות בו הזכויות של הקונים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. </w:t>
      </w:r>
      <w:bookmarkStart w:id="2487" w:name="_ETM_Q_528249"/>
      <w:bookmarkEnd w:id="2487"/>
      <w:r>
        <w:rPr>
          <w:rFonts w:ascii="Arial" w:hAnsi="Arial" w:cs="David"/>
          <w:sz w:val="24"/>
          <w:szCs w:val="24"/>
          <w:u w:val="none"/>
          <w:rtl/>
        </w:rPr>
        <w:t xml:space="preserve">במסגרת ייפוי הכוח הבלתי חוזר, חתמה התובעת כי היא </w:t>
      </w:r>
      <w:bookmarkStart w:id="2488" w:name="_ETM_Q_533891"/>
      <w:bookmarkEnd w:id="2488"/>
      <w:r>
        <w:rPr>
          <w:rFonts w:ascii="Arial" w:hAnsi="Arial" w:cs="David"/>
          <w:sz w:val="24"/>
          <w:szCs w:val="24"/>
          <w:u w:val="none"/>
          <w:rtl/>
        </w:rPr>
        <w:t xml:space="preserve">מצהירה שהיא מוותרת וויתור גמור ומוחלט על זכויותיה לעשות בעצמנו </w:t>
      </w:r>
      <w:bookmarkStart w:id="2489" w:name="_ETM_Q_539221"/>
      <w:bookmarkEnd w:id="2489"/>
      <w:r>
        <w:rPr>
          <w:rFonts w:ascii="Arial" w:hAnsi="Arial" w:cs="David"/>
          <w:sz w:val="24"/>
          <w:szCs w:val="24"/>
          <w:u w:val="none"/>
          <w:rtl/>
        </w:rPr>
        <w:t xml:space="preserve">או על ידי מישהו אחר את הפעולות והמעשים הנ"ל, כל </w:t>
      </w:r>
      <w:bookmarkStart w:id="2490" w:name="_ETM_Q_544235"/>
      <w:bookmarkEnd w:id="2490"/>
      <w:r>
        <w:rPr>
          <w:rFonts w:ascii="Arial" w:hAnsi="Arial" w:cs="David"/>
          <w:sz w:val="24"/>
          <w:szCs w:val="24"/>
          <w:u w:val="none"/>
          <w:rtl/>
        </w:rPr>
        <w:t xml:space="preserve">זה בהקשר של סעיף 15 שבו היא מצהירה שייפוי הכוח </w:t>
      </w:r>
      <w:bookmarkStart w:id="2491" w:name="_ETM_Q_550506"/>
      <w:bookmarkEnd w:id="2491"/>
      <w:r>
        <w:rPr>
          <w:rFonts w:ascii="Arial" w:hAnsi="Arial" w:cs="David"/>
          <w:sz w:val="24"/>
          <w:szCs w:val="24"/>
          <w:u w:val="none"/>
          <w:rtl/>
        </w:rPr>
        <w:t xml:space="preserve">הוא החלטי ובלתי חוזר.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הפסיקה התייחסה בהרחבה למשמעות ייפוי כוח </w:t>
      </w:r>
      <w:bookmarkStart w:id="2492" w:name="_ETM_Q_561161"/>
      <w:bookmarkEnd w:id="2492"/>
      <w:r>
        <w:rPr>
          <w:rFonts w:ascii="Arial" w:hAnsi="Arial" w:cs="David"/>
          <w:sz w:val="24"/>
          <w:szCs w:val="24"/>
          <w:u w:val="none"/>
          <w:rtl/>
        </w:rPr>
        <w:t>בלתי חוזר בעניין של עסקאות מתנה.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 w:hint="cs"/>
          <w:sz w:val="24"/>
          <w:szCs w:val="24"/>
          <w:u w:val="none"/>
          <w:rtl/>
        </w:rPr>
        <w:t>בע"א</w:t>
      </w:r>
      <w:r>
        <w:rPr>
          <w:rFonts w:ascii="Arial" w:hAnsi="Arial" w:cs="David"/>
          <w:sz w:val="24"/>
          <w:szCs w:val="24"/>
          <w:u w:val="none"/>
          <w:rtl/>
        </w:rPr>
        <w:t xml:space="preserve"> 7323</w:t>
      </w:r>
      <w:r>
        <w:rPr>
          <w:rFonts w:ascii="Arial" w:hAnsi="Arial" w:cs="David" w:hint="cs"/>
          <w:sz w:val="24"/>
          <w:szCs w:val="24"/>
          <w:u w:val="none"/>
          <w:rtl/>
        </w:rPr>
        <w:t>/</w:t>
      </w:r>
      <w:r>
        <w:rPr>
          <w:rFonts w:ascii="Arial" w:hAnsi="Arial" w:cs="David"/>
          <w:sz w:val="24"/>
          <w:szCs w:val="24"/>
          <w:u w:val="none"/>
          <w:rtl/>
        </w:rPr>
        <w:t>18 בש</w:t>
      </w:r>
      <w:bookmarkStart w:id="2493" w:name="_ETM_Q_570464"/>
      <w:bookmarkEnd w:id="2493"/>
      <w:r>
        <w:rPr>
          <w:rFonts w:ascii="Arial" w:hAnsi="Arial" w:cs="David"/>
          <w:sz w:val="24"/>
          <w:szCs w:val="24"/>
          <w:u w:val="none"/>
          <w:rtl/>
        </w:rPr>
        <w:t xml:space="preserve">ר נגד בשר מיום 6.8.20, מציין כבוד השופט עמית </w:t>
      </w:r>
      <w:bookmarkStart w:id="2494" w:name="_ETM_Q_580804"/>
      <w:bookmarkEnd w:id="2494"/>
      <w:r>
        <w:rPr>
          <w:rFonts w:ascii="Arial" w:hAnsi="Arial" w:cs="David"/>
          <w:sz w:val="24"/>
          <w:szCs w:val="24"/>
          <w:u w:val="none"/>
          <w:rtl/>
        </w:rPr>
        <w:t xml:space="preserve">בסעיף 4 בהקשר של עסקת מתנה, כי מושכלות </w:t>
      </w:r>
      <w:bookmarkStart w:id="2495" w:name="_ETM_Q_584468"/>
      <w:bookmarkEnd w:id="2495"/>
      <w:r>
        <w:rPr>
          <w:rFonts w:ascii="Arial" w:hAnsi="Arial" w:cs="David"/>
          <w:sz w:val="24"/>
          <w:szCs w:val="24"/>
          <w:u w:val="none"/>
          <w:rtl/>
        </w:rPr>
        <w:t xml:space="preserve">יסוד בדיני מתנה הינה שהקניית מתנה של זכות, בעלות במקרקעין </w:t>
      </w:r>
      <w:bookmarkStart w:id="2496" w:name="_ETM_Q_592198"/>
      <w:bookmarkEnd w:id="2496"/>
      <w:r>
        <w:rPr>
          <w:rFonts w:ascii="Arial" w:hAnsi="Arial" w:cs="David"/>
          <w:sz w:val="24"/>
          <w:szCs w:val="24"/>
          <w:u w:val="none"/>
          <w:rtl/>
        </w:rPr>
        <w:t xml:space="preserve">מסתיימת עם רישומה על שמו של מקבל המתנה וכל </w:t>
      </w:r>
      <w:bookmarkStart w:id="2497" w:name="_ETM_Q_595333"/>
      <w:bookmarkEnd w:id="2497"/>
      <w:r>
        <w:rPr>
          <w:rFonts w:ascii="Arial" w:hAnsi="Arial" w:cs="David"/>
          <w:sz w:val="24"/>
          <w:szCs w:val="24"/>
          <w:u w:val="none"/>
          <w:rtl/>
        </w:rPr>
        <w:t>עוד המתנה לא נרשמה, אזי מכוח סעיף 7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>ב</w:t>
      </w:r>
      <w:r>
        <w:rPr>
          <w:rFonts w:ascii="Arial" w:hAnsi="Arial" w:cs="David" w:hint="cs"/>
          <w:sz w:val="24"/>
          <w:szCs w:val="24"/>
          <w:u w:val="none"/>
          <w:rtl/>
        </w:rPr>
        <w:t>)</w:t>
      </w:r>
      <w:r>
        <w:rPr>
          <w:rFonts w:ascii="Arial" w:hAnsi="Arial" w:cs="David"/>
          <w:sz w:val="24"/>
          <w:szCs w:val="24"/>
          <w:u w:val="none"/>
          <w:rtl/>
        </w:rPr>
        <w:t xml:space="preserve"> לחוק </w:t>
      </w:r>
      <w:bookmarkStart w:id="2498" w:name="_ETM_Q_596483"/>
      <w:bookmarkEnd w:id="2498"/>
      <w:r>
        <w:rPr>
          <w:rFonts w:ascii="Arial" w:hAnsi="Arial" w:cs="David"/>
          <w:sz w:val="24"/>
          <w:szCs w:val="24"/>
          <w:u w:val="none"/>
          <w:rtl/>
        </w:rPr>
        <w:t xml:space="preserve">המקרקעין, אין מדובר אלא בהתחייבות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מתנה. אולם, על התחייבות </w:t>
      </w:r>
      <w:bookmarkStart w:id="2499" w:name="_ETM_Q_606828"/>
      <w:bookmarkEnd w:id="2499"/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מתנה להבדיל ממתנה שהושלמה, חל סעיף 5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>ב</w:t>
      </w:r>
      <w:r>
        <w:rPr>
          <w:rFonts w:ascii="Arial" w:hAnsi="Arial" w:cs="David" w:hint="cs"/>
          <w:sz w:val="24"/>
          <w:szCs w:val="24"/>
          <w:u w:val="none"/>
          <w:rtl/>
        </w:rPr>
        <w:t>)</w:t>
      </w:r>
      <w:r>
        <w:rPr>
          <w:rFonts w:ascii="Arial" w:hAnsi="Arial" w:cs="David"/>
          <w:sz w:val="24"/>
          <w:szCs w:val="24"/>
          <w:u w:val="none"/>
          <w:rtl/>
        </w:rPr>
        <w:t xml:space="preserve"> לחוק </w:t>
      </w:r>
      <w:bookmarkStart w:id="2500" w:name="_ETM_Q_610897"/>
      <w:bookmarkEnd w:id="2500"/>
      <w:r>
        <w:rPr>
          <w:rFonts w:ascii="Arial" w:hAnsi="Arial" w:cs="David"/>
          <w:sz w:val="24"/>
          <w:szCs w:val="24"/>
          <w:u w:val="none"/>
          <w:rtl/>
        </w:rPr>
        <w:t xml:space="preserve">המתנה וכל עוד לא הסתיימה העסקה ברישום, רשאי נותן המתנה </w:t>
      </w:r>
      <w:bookmarkStart w:id="2501" w:name="_ETM_Q_614660"/>
      <w:bookmarkEnd w:id="2501"/>
      <w:r>
        <w:rPr>
          <w:rFonts w:ascii="Arial" w:hAnsi="Arial" w:cs="David"/>
          <w:sz w:val="24"/>
          <w:szCs w:val="24"/>
          <w:u w:val="none"/>
          <w:rtl/>
        </w:rPr>
        <w:t xml:space="preserve">לחזור בו ואף אינו נדרש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טעם או סיבה לחזרה </w:t>
      </w:r>
      <w:bookmarkStart w:id="2502" w:name="_ETM_Q_618422"/>
      <w:bookmarkEnd w:id="2502"/>
      <w:r>
        <w:rPr>
          <w:rFonts w:ascii="Arial" w:hAnsi="Arial" w:cs="David"/>
          <w:sz w:val="24"/>
          <w:szCs w:val="24"/>
          <w:u w:val="none"/>
          <w:rtl/>
        </w:rPr>
        <w:t xml:space="preserve">מהמתנה. אולם, וכאן הדגש המתאים ונדרש לענייננו, אם וויתר נותן </w:t>
      </w:r>
      <w:bookmarkStart w:id="2503" w:name="_ETM_Q_626888"/>
      <w:bookmarkEnd w:id="2503"/>
      <w:r>
        <w:rPr>
          <w:rFonts w:ascii="Arial" w:hAnsi="Arial" w:cs="David"/>
          <w:sz w:val="24"/>
          <w:szCs w:val="24"/>
          <w:u w:val="none"/>
          <w:rtl/>
        </w:rPr>
        <w:t xml:space="preserve">המתנה בכתב על זכות החזרה, הופכת ההתחייבות לתת מתנה לבלתי </w:t>
      </w:r>
      <w:bookmarkStart w:id="2504" w:name="_ETM_Q_633472"/>
      <w:bookmarkEnd w:id="2504"/>
      <w:r>
        <w:rPr>
          <w:rFonts w:ascii="Arial" w:hAnsi="Arial" w:cs="David"/>
          <w:sz w:val="24"/>
          <w:szCs w:val="24"/>
          <w:u w:val="none"/>
          <w:rtl/>
        </w:rPr>
        <w:t xml:space="preserve">הדירה. </w:t>
      </w:r>
    </w:p>
    <w:p w:rsidR="00503834" w:rsidRDefault="00503834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  <w:rtl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זהו המקרה שבו במסגרת ייפוי הכוח הבלתי חוזר, התובעת </w:t>
      </w:r>
      <w:bookmarkStart w:id="2505" w:name="_ETM_Q_640677"/>
      <w:bookmarkEnd w:id="2505"/>
      <w:r>
        <w:rPr>
          <w:rFonts w:ascii="Arial" w:hAnsi="Arial" w:cs="David"/>
          <w:sz w:val="24"/>
          <w:szCs w:val="24"/>
          <w:u w:val="none"/>
          <w:rtl/>
        </w:rPr>
        <w:t xml:space="preserve">עצמה וויתרה בכתב על זכות החזרה. כבוד השופט עמית מציין </w:t>
      </w:r>
      <w:bookmarkStart w:id="2506" w:name="_ETM_Q_647577"/>
      <w:bookmarkEnd w:id="2506"/>
      <w:r>
        <w:rPr>
          <w:rFonts w:ascii="Arial" w:hAnsi="Arial" w:cs="David"/>
          <w:sz w:val="24"/>
          <w:szCs w:val="24"/>
          <w:u w:val="none"/>
          <w:rtl/>
        </w:rPr>
        <w:t>בהמשך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"הנה כי כן, התחייבות ושוברה בצידה. הלכה פסוקה </w:t>
      </w:r>
      <w:bookmarkStart w:id="2507" w:name="_ETM_Q_654784"/>
      <w:bookmarkEnd w:id="2507"/>
      <w:r>
        <w:rPr>
          <w:rFonts w:ascii="Arial" w:hAnsi="Arial" w:cs="David"/>
          <w:sz w:val="24"/>
          <w:szCs w:val="24"/>
          <w:u w:val="none"/>
          <w:rtl/>
        </w:rPr>
        <w:t>עמנו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כי ייפוי כוח בלתי חוזר כמוהו כוויתור בכתב על </w:t>
      </w:r>
      <w:bookmarkStart w:id="2508" w:name="_ETM_Q_659068"/>
      <w:bookmarkEnd w:id="2508"/>
      <w:r>
        <w:rPr>
          <w:rFonts w:ascii="Arial" w:hAnsi="Arial" w:cs="David"/>
          <w:sz w:val="24"/>
          <w:szCs w:val="24"/>
          <w:u w:val="none"/>
          <w:rtl/>
        </w:rPr>
        <w:t xml:space="preserve">הזכות לחזור מהתחייבות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מתנה". </w:t>
      </w:r>
    </w:p>
    <w:p w:rsidR="00503834" w:rsidRDefault="00503834" w:rsidP="00503834">
      <w:pPr>
        <w:pStyle w:val="a4"/>
        <w:shd w:val="clear" w:color="auto" w:fill="auto"/>
        <w:spacing w:line="360" w:lineRule="auto"/>
        <w:ind w:left="720" w:firstLine="0"/>
        <w:jc w:val="both"/>
        <w:rPr>
          <w:rFonts w:ascii="Arial" w:hAnsi="Arial" w:cs="David"/>
          <w:sz w:val="24"/>
          <w:szCs w:val="24"/>
          <w:u w:val="none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לכך יש להוסיף וגם זאת </w:t>
      </w:r>
      <w:bookmarkStart w:id="2509" w:name="_ETM_Q_667220"/>
      <w:bookmarkEnd w:id="2509"/>
      <w:r>
        <w:rPr>
          <w:rFonts w:ascii="Arial" w:hAnsi="Arial" w:cs="David"/>
          <w:sz w:val="24"/>
          <w:szCs w:val="24"/>
          <w:u w:val="none"/>
          <w:rtl/>
        </w:rPr>
        <w:t>מצוין בפסק דין 7323</w:t>
      </w:r>
      <w:r>
        <w:rPr>
          <w:rFonts w:ascii="Arial" w:hAnsi="Arial" w:cs="David" w:hint="cs"/>
          <w:sz w:val="24"/>
          <w:szCs w:val="24"/>
          <w:u w:val="none"/>
          <w:rtl/>
        </w:rPr>
        <w:t>/</w:t>
      </w:r>
      <w:r>
        <w:rPr>
          <w:rFonts w:ascii="Arial" w:hAnsi="Arial" w:cs="David"/>
          <w:sz w:val="24"/>
          <w:szCs w:val="24"/>
          <w:u w:val="none"/>
          <w:rtl/>
        </w:rPr>
        <w:t xml:space="preserve">18, כי גם מסמכי הדיווח לרשויות המס </w:t>
      </w:r>
      <w:bookmarkStart w:id="2510" w:name="_ETM_Q_674746"/>
      <w:bookmarkEnd w:id="2510"/>
      <w:r>
        <w:rPr>
          <w:rFonts w:ascii="Arial" w:hAnsi="Arial" w:cs="David"/>
          <w:sz w:val="24"/>
          <w:szCs w:val="24"/>
          <w:u w:val="none"/>
          <w:rtl/>
        </w:rPr>
        <w:t>מהווים אינדיקציה חזקה לכך שהחתימה על ייפוי הכוח הבלתי חוזר</w:t>
      </w:r>
      <w:bookmarkStart w:id="2511" w:name="_ETM_Q_681645"/>
      <w:bookmarkEnd w:id="2511"/>
      <w:r>
        <w:rPr>
          <w:rFonts w:ascii="Arial" w:hAnsi="Arial" w:cs="David"/>
          <w:sz w:val="24"/>
          <w:szCs w:val="24"/>
          <w:u w:val="none"/>
          <w:rtl/>
        </w:rPr>
        <w:t xml:space="preserve"> יש לתת לה נפקות יתרה הכוללת וויתור על זכות החזרה </w:t>
      </w:r>
      <w:bookmarkStart w:id="2512" w:name="_ETM_Q_687908"/>
      <w:bookmarkEnd w:id="2512"/>
      <w:r>
        <w:rPr>
          <w:rFonts w:ascii="Arial" w:hAnsi="Arial" w:cs="David"/>
          <w:sz w:val="24"/>
          <w:szCs w:val="24"/>
          <w:u w:val="none"/>
          <w:rtl/>
        </w:rPr>
        <w:t xml:space="preserve">מהתחייבות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ליתן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מתנה. </w:t>
      </w: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lastRenderedPageBreak/>
        <w:t xml:space="preserve">בפסק דין אחר שגם הוא ניתן על </w:t>
      </w:r>
      <w:bookmarkStart w:id="2513" w:name="_ETM_Q_702954"/>
      <w:bookmarkEnd w:id="2513"/>
      <w:r>
        <w:rPr>
          <w:rFonts w:ascii="Arial" w:hAnsi="Arial" w:cs="David"/>
          <w:sz w:val="24"/>
          <w:szCs w:val="24"/>
          <w:u w:val="none"/>
          <w:rtl/>
        </w:rPr>
        <w:t>ידי כבוד השופט עמית במסגרת ע"מ 403</w:t>
      </w:r>
      <w:r>
        <w:rPr>
          <w:rFonts w:ascii="Arial" w:hAnsi="Arial" w:cs="David" w:hint="cs"/>
          <w:sz w:val="24"/>
          <w:szCs w:val="24"/>
          <w:u w:val="none"/>
          <w:rtl/>
        </w:rPr>
        <w:t>/</w:t>
      </w:r>
      <w:r>
        <w:rPr>
          <w:rFonts w:ascii="Arial" w:hAnsi="Arial" w:cs="David"/>
          <w:sz w:val="24"/>
          <w:szCs w:val="24"/>
          <w:u w:val="none"/>
          <w:rtl/>
        </w:rPr>
        <w:t xml:space="preserve">06, מציין כבוד השופט </w:t>
      </w:r>
      <w:bookmarkStart w:id="2514" w:name="_ETM_Q_716746"/>
      <w:bookmarkEnd w:id="2514"/>
      <w:r>
        <w:rPr>
          <w:rFonts w:ascii="Arial" w:hAnsi="Arial" w:cs="David"/>
          <w:sz w:val="24"/>
          <w:szCs w:val="24"/>
          <w:u w:val="none"/>
          <w:rtl/>
        </w:rPr>
        <w:t>עמית כי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ראוי להוסיף שבמקרים בהם נעשה </w:t>
      </w:r>
      <w:proofErr w:type="spellStart"/>
      <w:r>
        <w:rPr>
          <w:rFonts w:ascii="Arial" w:hAnsi="Arial" w:cs="David" w:hint="cs"/>
          <w:sz w:val="24"/>
          <w:szCs w:val="24"/>
          <w:u w:val="none"/>
          <w:rtl/>
        </w:rPr>
        <w:t>ה</w:t>
      </w:r>
      <w:r>
        <w:rPr>
          <w:rFonts w:ascii="Arial" w:hAnsi="Arial" w:cs="David"/>
          <w:sz w:val="24"/>
          <w:szCs w:val="24"/>
          <w:u w:val="none"/>
          <w:rtl/>
        </w:rPr>
        <w:t>ויתור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 על זכות </w:t>
      </w:r>
      <w:bookmarkStart w:id="2515" w:name="_ETM_Q_722390"/>
      <w:bookmarkEnd w:id="2515"/>
      <w:r>
        <w:rPr>
          <w:rFonts w:ascii="Arial" w:hAnsi="Arial" w:cs="David"/>
          <w:sz w:val="24"/>
          <w:szCs w:val="24"/>
          <w:u w:val="none"/>
          <w:rtl/>
        </w:rPr>
        <w:t xml:space="preserve">החזרה ממתנה בייפוי כוח בלתי חוזר, יש משנה תוקף לכוונת </w:t>
      </w:r>
      <w:bookmarkStart w:id="2516" w:name="_ETM_Q_729287"/>
      <w:bookmarkEnd w:id="2516"/>
      <w:r>
        <w:rPr>
          <w:rFonts w:ascii="Arial" w:hAnsi="Arial" w:cs="David"/>
          <w:sz w:val="24"/>
          <w:szCs w:val="24"/>
          <w:u w:val="none"/>
          <w:rtl/>
        </w:rPr>
        <w:t>הוויתור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>. הוא מציין ומדגיש כי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ניתן להניח כי נותן המתנה </w:t>
      </w:r>
      <w:bookmarkStart w:id="2517" w:name="_ETM_Q_731379"/>
      <w:bookmarkEnd w:id="2517"/>
      <w:r>
        <w:rPr>
          <w:rFonts w:ascii="Arial" w:hAnsi="Arial" w:cs="David"/>
          <w:sz w:val="24"/>
          <w:szCs w:val="24"/>
          <w:u w:val="none"/>
          <w:rtl/>
        </w:rPr>
        <w:t xml:space="preserve">הניח כי בחתימתו על ייפוי הכוח הבלתי חוזר הוא מוותר </w:t>
      </w:r>
      <w:bookmarkStart w:id="2518" w:name="_ETM_Q_739527"/>
      <w:bookmarkEnd w:id="2518"/>
      <w:r>
        <w:rPr>
          <w:rFonts w:ascii="Arial" w:hAnsi="Arial" w:cs="David"/>
          <w:sz w:val="24"/>
          <w:szCs w:val="24"/>
          <w:u w:val="none"/>
          <w:rtl/>
        </w:rPr>
        <w:t>על זכותו לחזור בו מן המתת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ואולי אף ניתן להניח </w:t>
      </w:r>
      <w:bookmarkStart w:id="2519" w:name="_ETM_Q_742974"/>
      <w:bookmarkEnd w:id="2519"/>
      <w:r>
        <w:rPr>
          <w:rFonts w:ascii="Arial" w:hAnsi="Arial" w:cs="David"/>
          <w:sz w:val="24"/>
          <w:szCs w:val="24"/>
          <w:u w:val="none"/>
          <w:rtl/>
        </w:rPr>
        <w:t>כי נותן המתנה התכוון להשלים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ככל הניתן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את כל הפעולות </w:t>
      </w:r>
      <w:bookmarkStart w:id="2520" w:name="_ETM_Q_747991"/>
      <w:bookmarkEnd w:id="2520"/>
      <w:r>
        <w:rPr>
          <w:rFonts w:ascii="Arial" w:hAnsi="Arial" w:cs="David"/>
          <w:sz w:val="24"/>
          <w:szCs w:val="24"/>
          <w:u w:val="none"/>
          <w:rtl/>
        </w:rPr>
        <w:t>הדרושות מצדו לשם השלמת העברת הקניין במתנה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על ידי החתימה </w:t>
      </w:r>
      <w:bookmarkStart w:id="2521" w:name="_ETM_Q_753948"/>
      <w:bookmarkEnd w:id="2521"/>
      <w:r>
        <w:rPr>
          <w:rFonts w:ascii="Arial" w:hAnsi="Arial" w:cs="David"/>
          <w:sz w:val="24"/>
          <w:szCs w:val="24"/>
          <w:u w:val="none"/>
          <w:rtl/>
        </w:rPr>
        <w:t>על ייפוי הכוח האמור. העולה מן האמור לעיל הוא, שלמשיב</w:t>
      </w:r>
      <w:bookmarkStart w:id="2522" w:name="_ETM_Q_758441"/>
      <w:bookmarkEnd w:id="2522"/>
      <w:r>
        <w:rPr>
          <w:rFonts w:ascii="Arial" w:hAnsi="Arial" w:cs="David" w:hint="cs"/>
          <w:sz w:val="24"/>
          <w:szCs w:val="24"/>
          <w:u w:val="none"/>
          <w:rtl/>
        </w:rPr>
        <w:t xml:space="preserve"> </w:t>
      </w:r>
      <w:r>
        <w:rPr>
          <w:rFonts w:ascii="Arial" w:hAnsi="Arial" w:cs="David"/>
          <w:sz w:val="24"/>
          <w:szCs w:val="24"/>
          <w:u w:val="none"/>
          <w:rtl/>
        </w:rPr>
        <w:t xml:space="preserve">לא עמדה זכות לחזור </w:t>
      </w:r>
      <w:bookmarkStart w:id="2523" w:name="_ETM_Q_762726"/>
      <w:bookmarkEnd w:id="2523"/>
      <w:r>
        <w:rPr>
          <w:rFonts w:ascii="Arial" w:hAnsi="Arial" w:cs="David"/>
          <w:sz w:val="24"/>
          <w:szCs w:val="24"/>
          <w:u w:val="none"/>
          <w:rtl/>
        </w:rPr>
        <w:t xml:space="preserve">בו מן המתנה לפי סעיף 5 </w:t>
      </w:r>
      <w:r>
        <w:rPr>
          <w:rFonts w:ascii="Arial" w:hAnsi="Arial" w:cs="David" w:hint="cs"/>
          <w:sz w:val="24"/>
          <w:szCs w:val="24"/>
          <w:u w:val="none"/>
          <w:rtl/>
        </w:rPr>
        <w:t>(</w:t>
      </w:r>
      <w:r>
        <w:rPr>
          <w:rFonts w:ascii="Arial" w:hAnsi="Arial" w:cs="David"/>
          <w:sz w:val="24"/>
          <w:szCs w:val="24"/>
          <w:u w:val="none"/>
          <w:rtl/>
        </w:rPr>
        <w:t>ב</w:t>
      </w:r>
      <w:r>
        <w:rPr>
          <w:rFonts w:ascii="Arial" w:hAnsi="Arial" w:cs="David" w:hint="cs"/>
          <w:sz w:val="24"/>
          <w:szCs w:val="24"/>
          <w:u w:val="none"/>
          <w:rtl/>
        </w:rPr>
        <w:t>)</w:t>
      </w:r>
      <w:r>
        <w:rPr>
          <w:rFonts w:ascii="Arial" w:hAnsi="Arial" w:cs="David"/>
          <w:sz w:val="24"/>
          <w:szCs w:val="24"/>
          <w:u w:val="none"/>
          <w:rtl/>
        </w:rPr>
        <w:t xml:space="preserve"> לחוק המתנה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וזאת </w:t>
      </w:r>
      <w:bookmarkStart w:id="2524" w:name="_ETM_Q_767424"/>
      <w:bookmarkEnd w:id="2524"/>
      <w:r>
        <w:rPr>
          <w:rFonts w:ascii="Arial" w:hAnsi="Arial" w:cs="David"/>
          <w:sz w:val="24"/>
          <w:szCs w:val="24"/>
          <w:u w:val="none"/>
          <w:rtl/>
        </w:rPr>
        <w:t xml:space="preserve">משום שחתם על ייפוי כוח בלתי חוזר לשם העברת הבעלות </w:t>
      </w:r>
      <w:bookmarkStart w:id="2525" w:name="_ETM_Q_770872"/>
      <w:bookmarkEnd w:id="2525"/>
      <w:r>
        <w:rPr>
          <w:rFonts w:ascii="Arial" w:hAnsi="Arial" w:cs="David"/>
          <w:sz w:val="24"/>
          <w:szCs w:val="24"/>
          <w:u w:val="none"/>
          <w:rtl/>
        </w:rPr>
        <w:t>במקרקעין בהתאם להסכם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אשר בחתימתו עליו, וויתר על זכות </w:t>
      </w:r>
      <w:bookmarkStart w:id="2526" w:name="_ETM_Q_777454"/>
      <w:bookmarkEnd w:id="2526"/>
      <w:r>
        <w:rPr>
          <w:rFonts w:ascii="Arial" w:hAnsi="Arial" w:cs="David"/>
          <w:sz w:val="24"/>
          <w:szCs w:val="24"/>
          <w:u w:val="none"/>
          <w:rtl/>
        </w:rPr>
        <w:t xml:space="preserve">החזרה מהמתנה".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בענייננו, אמנם לא היה הסכם נוסף נלווה עליו </w:t>
      </w:r>
      <w:bookmarkStart w:id="2527" w:name="_ETM_Q_784665"/>
      <w:bookmarkEnd w:id="2527"/>
      <w:r>
        <w:rPr>
          <w:rFonts w:ascii="Arial" w:hAnsi="Arial" w:cs="David"/>
          <w:sz w:val="24"/>
          <w:szCs w:val="24"/>
          <w:u w:val="none"/>
          <w:rtl/>
        </w:rPr>
        <w:t>נתלית התובעת. אולם, באותו יום נחתמו שורה של מסמכים החוזרים</w:t>
      </w:r>
      <w:bookmarkStart w:id="2528" w:name="_ETM_Q_793755"/>
      <w:bookmarkEnd w:id="2528"/>
      <w:r>
        <w:rPr>
          <w:rFonts w:ascii="Arial" w:hAnsi="Arial" w:cs="David"/>
          <w:sz w:val="24"/>
          <w:szCs w:val="24"/>
          <w:u w:val="none"/>
          <w:rtl/>
        </w:rPr>
        <w:t xml:space="preserve"> על אותה הסכמה ברורה ופשוטה, מתן מתנה לנכדים ללא התניות </w:t>
      </w:r>
      <w:bookmarkStart w:id="2529" w:name="_ETM_Q_801591"/>
      <w:bookmarkEnd w:id="2529"/>
      <w:r>
        <w:rPr>
          <w:rFonts w:ascii="Arial" w:hAnsi="Arial" w:cs="David"/>
          <w:sz w:val="24"/>
          <w:szCs w:val="24"/>
          <w:u w:val="none"/>
          <w:rtl/>
        </w:rPr>
        <w:t>נוספות</w:t>
      </w:r>
      <w:r>
        <w:rPr>
          <w:rFonts w:ascii="Arial" w:hAnsi="Arial" w:cs="David" w:hint="cs"/>
          <w:sz w:val="24"/>
          <w:szCs w:val="24"/>
          <w:u w:val="none"/>
          <w:rtl/>
        </w:rPr>
        <w:t>.</w:t>
      </w:r>
      <w:r>
        <w:rPr>
          <w:rFonts w:ascii="Arial" w:hAnsi="Arial" w:cs="David"/>
          <w:sz w:val="24"/>
          <w:szCs w:val="24"/>
          <w:u w:val="none"/>
          <w:rtl/>
        </w:rPr>
        <w:t xml:space="preserve"> והעובדה שיש תצהירים שעל פיהם, דווחה לאחר מכן </w:t>
      </w:r>
      <w:bookmarkStart w:id="2530" w:name="_ETM_Q_810892"/>
      <w:bookmarkEnd w:id="2530"/>
      <w:r>
        <w:rPr>
          <w:rFonts w:ascii="Arial" w:hAnsi="Arial" w:cs="David"/>
          <w:sz w:val="24"/>
          <w:szCs w:val="24"/>
          <w:u w:val="none"/>
          <w:rtl/>
        </w:rPr>
        <w:t xml:space="preserve">העסקה לרשויות המס, אינה מספיקה לטעמי על מנת להורות על </w:t>
      </w:r>
      <w:bookmarkStart w:id="2531" w:name="_ETM_Q_818730"/>
      <w:bookmarkEnd w:id="2531"/>
      <w:r>
        <w:rPr>
          <w:rFonts w:ascii="Arial" w:hAnsi="Arial" w:cs="David"/>
          <w:sz w:val="24"/>
          <w:szCs w:val="24"/>
          <w:u w:val="none"/>
          <w:rtl/>
        </w:rPr>
        <w:t xml:space="preserve">קבלת התביעה רק בכך שלא נערך מסמך נוסף בכתב מעבר </w:t>
      </w:r>
      <w:bookmarkStart w:id="2532" w:name="_ETM_Q_826251"/>
      <w:bookmarkEnd w:id="2532"/>
      <w:r>
        <w:rPr>
          <w:rFonts w:ascii="Arial" w:hAnsi="Arial" w:cs="David"/>
          <w:sz w:val="24"/>
          <w:szCs w:val="24"/>
          <w:u w:val="none"/>
          <w:rtl/>
        </w:rPr>
        <w:t xml:space="preserve">לתצהירים, לדיווחים ולייפוי הכוח הבלתי חוזר.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אני ערה לכך שקיימות </w:t>
      </w:r>
      <w:bookmarkStart w:id="2533" w:name="_ETM_Q_851646"/>
      <w:bookmarkEnd w:id="2533"/>
      <w:r>
        <w:rPr>
          <w:rFonts w:ascii="Arial" w:hAnsi="Arial" w:cs="David"/>
          <w:sz w:val="24"/>
          <w:szCs w:val="24"/>
          <w:u w:val="none"/>
          <w:rtl/>
        </w:rPr>
        <w:t xml:space="preserve">נסיבות מיוחדות בפסיקה אשר הכירו באפשרות כי ייפוי כוח בלתי </w:t>
      </w:r>
      <w:bookmarkStart w:id="2534" w:name="_ETM_Q_861987"/>
      <w:bookmarkEnd w:id="2534"/>
      <w:r>
        <w:rPr>
          <w:rFonts w:ascii="Arial" w:hAnsi="Arial" w:cs="David"/>
          <w:sz w:val="24"/>
          <w:szCs w:val="24"/>
          <w:u w:val="none"/>
          <w:rtl/>
        </w:rPr>
        <w:t>חוזר יכול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על אף שיש בו את אותה זכות בלתי </w:t>
      </w:r>
      <w:bookmarkStart w:id="2535" w:name="_ETM_Q_869202"/>
      <w:bookmarkEnd w:id="2535"/>
      <w:r>
        <w:rPr>
          <w:rFonts w:ascii="Arial" w:hAnsi="Arial" w:cs="David" w:hint="cs"/>
          <w:sz w:val="24"/>
          <w:szCs w:val="24"/>
          <w:u w:val="none"/>
          <w:rtl/>
        </w:rPr>
        <w:t>ה</w:t>
      </w:r>
      <w:r>
        <w:rPr>
          <w:rFonts w:ascii="Arial" w:hAnsi="Arial" w:cs="David"/>
          <w:sz w:val="24"/>
          <w:szCs w:val="24"/>
          <w:u w:val="none"/>
          <w:rtl/>
        </w:rPr>
        <w:t xml:space="preserve">דירה בקיומן של ראיות אחרות, לאפשר אפשרות של </w:t>
      </w:r>
      <w:bookmarkStart w:id="2536" w:name="_ETM_Q_877349"/>
      <w:bookmarkEnd w:id="2536"/>
      <w:r>
        <w:rPr>
          <w:rFonts w:ascii="Arial" w:hAnsi="Arial" w:cs="David"/>
          <w:sz w:val="24"/>
          <w:szCs w:val="24"/>
          <w:u w:val="none"/>
          <w:rtl/>
        </w:rPr>
        <w:t>נותן המתנה לוותר על זכות החזרה מהתחייבותו. במסגרת בע"מ 4778</w:t>
      </w:r>
      <w:r>
        <w:rPr>
          <w:rFonts w:ascii="Arial" w:hAnsi="Arial" w:cs="David" w:hint="cs"/>
          <w:sz w:val="24"/>
          <w:szCs w:val="24"/>
          <w:u w:val="none"/>
          <w:rtl/>
        </w:rPr>
        <w:t>/</w:t>
      </w:r>
      <w:r>
        <w:rPr>
          <w:rFonts w:ascii="Arial" w:hAnsi="Arial" w:cs="David"/>
          <w:sz w:val="24"/>
          <w:szCs w:val="24"/>
          <w:u w:val="none"/>
          <w:rtl/>
        </w:rPr>
        <w:t xml:space="preserve">17 </w:t>
      </w:r>
      <w:bookmarkStart w:id="2537" w:name="_ETM_Q_885810"/>
      <w:bookmarkEnd w:id="2537"/>
      <w:r>
        <w:rPr>
          <w:rFonts w:ascii="Arial" w:hAnsi="Arial" w:cs="David"/>
          <w:sz w:val="24"/>
          <w:szCs w:val="24"/>
          <w:u w:val="none"/>
          <w:rtl/>
        </w:rPr>
        <w:t xml:space="preserve">פלוני נגד פלוני, מתייחס השופט מזוז למצב משפטי זה ולמחלוקת </w:t>
      </w:r>
      <w:bookmarkStart w:id="2538" w:name="_ETM_Q_893651"/>
      <w:bookmarkEnd w:id="2538"/>
      <w:r>
        <w:rPr>
          <w:rFonts w:ascii="Arial" w:hAnsi="Arial" w:cs="David"/>
          <w:sz w:val="24"/>
          <w:szCs w:val="24"/>
          <w:u w:val="none"/>
          <w:rtl/>
        </w:rPr>
        <w:t>בפסיקה. הוא מציין בסעיף 14 כי</w:t>
      </w:r>
      <w:r>
        <w:rPr>
          <w:rFonts w:ascii="Arial" w:hAnsi="Arial" w:cs="David" w:hint="cs"/>
          <w:sz w:val="24"/>
          <w:szCs w:val="24"/>
          <w:u w:val="none"/>
          <w:rtl/>
        </w:rPr>
        <w:t>:</w:t>
      </w:r>
      <w:r>
        <w:rPr>
          <w:rFonts w:ascii="Arial" w:hAnsi="Arial" w:cs="David"/>
          <w:sz w:val="24"/>
          <w:szCs w:val="24"/>
          <w:u w:val="none"/>
          <w:rtl/>
        </w:rPr>
        <w:t xml:space="preserve"> 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נראה שניתן לקבוע כי </w:t>
      </w:r>
      <w:bookmarkStart w:id="2539" w:name="_ETM_Q_901170"/>
      <w:bookmarkEnd w:id="2539"/>
      <w:r>
        <w:rPr>
          <w:rFonts w:ascii="Arial" w:hAnsi="Arial" w:cs="David"/>
          <w:sz w:val="24"/>
          <w:szCs w:val="24"/>
          <w:u w:val="none"/>
          <w:rtl/>
        </w:rPr>
        <w:t>הדעה הדומיננטית בפסיקה ובספרות היא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כי ייפוי כוח בלתי </w:t>
      </w:r>
      <w:bookmarkStart w:id="2540" w:name="_ETM_Q_906814"/>
      <w:bookmarkEnd w:id="2540"/>
      <w:r>
        <w:rPr>
          <w:rFonts w:ascii="Arial" w:hAnsi="Arial" w:cs="David"/>
          <w:sz w:val="24"/>
          <w:szCs w:val="24"/>
          <w:u w:val="none"/>
          <w:rtl/>
        </w:rPr>
        <w:t>חוזר אכן מהווה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ככלל ובהיעדר ראיות אחרות</w:t>
      </w:r>
      <w:r>
        <w:rPr>
          <w:rFonts w:ascii="Arial" w:hAnsi="Arial" w:cs="David" w:hint="cs"/>
          <w:sz w:val="24"/>
          <w:szCs w:val="24"/>
          <w:u w:val="none"/>
          <w:rtl/>
        </w:rPr>
        <w:t>,</w:t>
      </w:r>
      <w:r>
        <w:rPr>
          <w:rFonts w:ascii="Arial" w:hAnsi="Arial" w:cs="David"/>
          <w:sz w:val="24"/>
          <w:szCs w:val="24"/>
          <w:u w:val="none"/>
          <w:rtl/>
        </w:rPr>
        <w:t xml:space="preserve"> משום ראייה לוויתור </w:t>
      </w:r>
      <w:bookmarkStart w:id="2541" w:name="_ETM_Q_914338"/>
      <w:bookmarkEnd w:id="2541"/>
      <w:r>
        <w:rPr>
          <w:rFonts w:ascii="Arial" w:hAnsi="Arial" w:cs="David"/>
          <w:sz w:val="24"/>
          <w:szCs w:val="24"/>
          <w:u w:val="none"/>
          <w:rtl/>
        </w:rPr>
        <w:t xml:space="preserve">של נותן המתנה על זכותו לחזור בו מהתחייבותו, זכות </w:t>
      </w:r>
      <w:bookmarkStart w:id="2542" w:name="_ETM_Q_916217"/>
      <w:bookmarkEnd w:id="2542"/>
      <w:r>
        <w:rPr>
          <w:rFonts w:ascii="Arial" w:hAnsi="Arial" w:cs="David"/>
          <w:sz w:val="24"/>
          <w:szCs w:val="24"/>
          <w:u w:val="none"/>
          <w:rtl/>
        </w:rPr>
        <w:t xml:space="preserve">המוקנית לו בסעיף 5 </w:t>
      </w:r>
      <w:r>
        <w:rPr>
          <w:rFonts w:ascii="Arial" w:hAnsi="Arial" w:cs="David" w:hint="cs"/>
          <w:sz w:val="24"/>
          <w:szCs w:val="24"/>
          <w:u w:val="none"/>
          <w:rtl/>
        </w:rPr>
        <w:t>(ב)</w:t>
      </w:r>
      <w:r>
        <w:rPr>
          <w:rFonts w:ascii="Arial" w:hAnsi="Arial" w:cs="David"/>
          <w:sz w:val="24"/>
          <w:szCs w:val="24"/>
          <w:u w:val="none"/>
          <w:rtl/>
        </w:rPr>
        <w:t xml:space="preserve"> לחוק</w:t>
      </w:r>
      <w:r>
        <w:rPr>
          <w:rFonts w:ascii="Arial" w:hAnsi="Arial" w:cs="David" w:hint="cs"/>
          <w:sz w:val="24"/>
          <w:szCs w:val="24"/>
          <w:u w:val="none"/>
          <w:rtl/>
        </w:rPr>
        <w:t>"</w:t>
      </w:r>
      <w:r>
        <w:rPr>
          <w:rFonts w:ascii="Arial" w:hAnsi="Arial" w:cs="David"/>
          <w:sz w:val="24"/>
          <w:szCs w:val="24"/>
          <w:u w:val="none"/>
          <w:rtl/>
        </w:rPr>
        <w:t xml:space="preserve">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בענייננו, ככל שהתובעת הייתה </w:t>
      </w:r>
      <w:bookmarkStart w:id="2543" w:name="_ETM_Q_933458"/>
      <w:bookmarkEnd w:id="2543"/>
      <w:r>
        <w:rPr>
          <w:rFonts w:ascii="Arial" w:hAnsi="Arial" w:cs="David"/>
          <w:sz w:val="24"/>
          <w:szCs w:val="24"/>
          <w:u w:val="none"/>
          <w:rtl/>
        </w:rPr>
        <w:t>מביאה ראיות אחרות מהן ניתן היה לראות כי זכות הח</w:t>
      </w:r>
      <w:bookmarkStart w:id="2544" w:name="_ETM_Q_943493"/>
      <w:bookmarkEnd w:id="2544"/>
      <w:r>
        <w:rPr>
          <w:rFonts w:ascii="Arial" w:hAnsi="Arial" w:cs="David"/>
          <w:sz w:val="24"/>
          <w:szCs w:val="24"/>
          <w:u w:val="none"/>
          <w:rtl/>
        </w:rPr>
        <w:t xml:space="preserve">זרה שלה סויגה, כי נחתמו מסמכים שונים, כי היא </w:t>
      </w:r>
      <w:bookmarkStart w:id="2545" w:name="_ETM_Q_949139"/>
      <w:bookmarkEnd w:id="2545"/>
      <w:r>
        <w:rPr>
          <w:rFonts w:ascii="Arial" w:hAnsi="Arial" w:cs="David"/>
          <w:sz w:val="24"/>
          <w:szCs w:val="24"/>
          <w:u w:val="none"/>
          <w:rtl/>
        </w:rPr>
        <w:t xml:space="preserve">מביאה ראיות אחרות מזמן אמת וכאמור, היא נמנעה מלהביא עדים </w:t>
      </w:r>
      <w:bookmarkStart w:id="2546" w:name="_ETM_Q_951952"/>
      <w:bookmarkEnd w:id="2546"/>
      <w:r>
        <w:rPr>
          <w:rFonts w:ascii="Arial" w:hAnsi="Arial" w:cs="David"/>
          <w:sz w:val="24"/>
          <w:szCs w:val="24"/>
          <w:u w:val="none"/>
          <w:rtl/>
        </w:rPr>
        <w:t xml:space="preserve">שיכלו אולי להוסיף את אותן ראיות אחרות, אני סבורה שיש </w:t>
      </w:r>
      <w:bookmarkStart w:id="2547" w:name="_ETM_Q_960733"/>
      <w:bookmarkEnd w:id="2547"/>
      <w:r>
        <w:rPr>
          <w:rFonts w:ascii="Arial" w:hAnsi="Arial" w:cs="David"/>
          <w:sz w:val="24"/>
          <w:szCs w:val="24"/>
          <w:u w:val="none"/>
          <w:rtl/>
        </w:rPr>
        <w:t>לתת תוקף ומשמעות רבה מאוד לייפוי הכוח הבלתי חוזר שב</w:t>
      </w:r>
      <w:bookmarkStart w:id="2548" w:name="_ETM_Q_966375"/>
      <w:bookmarkEnd w:id="2548"/>
      <w:r>
        <w:rPr>
          <w:rFonts w:ascii="Arial" w:hAnsi="Arial" w:cs="David"/>
          <w:sz w:val="24"/>
          <w:szCs w:val="24"/>
          <w:u w:val="none"/>
          <w:rtl/>
        </w:rPr>
        <w:t xml:space="preserve">ו הוראה מפורשת של אי הדרה.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>סוגיה נוספת אליה</w:t>
      </w:r>
      <w:bookmarkStart w:id="2549" w:name="_ETM_Q_975779"/>
      <w:bookmarkEnd w:id="2549"/>
      <w:r>
        <w:rPr>
          <w:rFonts w:ascii="Arial" w:hAnsi="Arial" w:cs="David"/>
          <w:sz w:val="24"/>
          <w:szCs w:val="24"/>
          <w:u w:val="none"/>
          <w:rtl/>
        </w:rPr>
        <w:t xml:space="preserve"> יש להתייחס בהקשר זה שחזרה וצוינה במסגרת הסיכומים </w:t>
      </w:r>
      <w:bookmarkStart w:id="2550" w:name="_ETM_Q_984868"/>
      <w:bookmarkEnd w:id="2550"/>
      <w:r>
        <w:rPr>
          <w:rFonts w:ascii="Arial" w:hAnsi="Arial" w:cs="David"/>
          <w:sz w:val="24"/>
          <w:szCs w:val="24"/>
          <w:u w:val="none"/>
          <w:rtl/>
        </w:rPr>
        <w:t xml:space="preserve">ובמסגרת ההליך, האם העובדה שהנתבעים לאחר שהחל הסכסוך לקחו עורך </w:t>
      </w:r>
      <w:bookmarkStart w:id="2551" w:name="_ETM_Q_994273"/>
      <w:bookmarkEnd w:id="2551"/>
      <w:r>
        <w:rPr>
          <w:rFonts w:ascii="Arial" w:hAnsi="Arial" w:cs="David"/>
          <w:sz w:val="24"/>
          <w:szCs w:val="24"/>
          <w:u w:val="none"/>
          <w:rtl/>
        </w:rPr>
        <w:t xml:space="preserve">דין אחר שפעל על פי ייפוי הכוח מהווה הפרה מצדם </w:t>
      </w:r>
      <w:bookmarkStart w:id="2552" w:name="_ETM_Q_999289"/>
      <w:bookmarkEnd w:id="2552"/>
      <w:r>
        <w:rPr>
          <w:rFonts w:ascii="Arial" w:hAnsi="Arial" w:cs="David"/>
          <w:sz w:val="24"/>
          <w:szCs w:val="24"/>
          <w:u w:val="none"/>
          <w:rtl/>
        </w:rPr>
        <w:t xml:space="preserve">של ההסכמים או שוללת את תוקפו של ייפוי הכוח. אין </w:t>
      </w:r>
      <w:bookmarkStart w:id="2553" w:name="_ETM_Q_1005247"/>
      <w:bookmarkEnd w:id="2553"/>
      <w:r>
        <w:rPr>
          <w:rFonts w:ascii="Arial" w:hAnsi="Arial" w:cs="David"/>
          <w:sz w:val="24"/>
          <w:szCs w:val="24"/>
          <w:u w:val="none"/>
          <w:rtl/>
        </w:rPr>
        <w:t xml:space="preserve">בידי לקבל טענה זו. והדברים דומים לדברים שצוינו לגבי </w:t>
      </w:r>
      <w:bookmarkStart w:id="2554" w:name="_ETM_Q_1009633"/>
      <w:bookmarkEnd w:id="2554"/>
      <w:r>
        <w:rPr>
          <w:rFonts w:ascii="Arial" w:hAnsi="Arial" w:cs="David"/>
          <w:sz w:val="24"/>
          <w:szCs w:val="24"/>
          <w:u w:val="none"/>
          <w:rtl/>
        </w:rPr>
        <w:t xml:space="preserve">ההתנהגות המחפירה. העובדה ששני </w:t>
      </w:r>
      <w:r>
        <w:rPr>
          <w:rFonts w:ascii="Arial" w:hAnsi="Arial" w:cs="David"/>
          <w:sz w:val="24"/>
          <w:szCs w:val="24"/>
          <w:u w:val="none"/>
          <w:rtl/>
        </w:rPr>
        <w:lastRenderedPageBreak/>
        <w:t xml:space="preserve">הצדדים העדיפו שלא לקחת את </w:t>
      </w:r>
      <w:bookmarkStart w:id="2555" w:name="_ETM_Q_1021549"/>
      <w:bookmarkEnd w:id="2555"/>
      <w:r>
        <w:rPr>
          <w:rFonts w:ascii="Arial" w:hAnsi="Arial" w:cs="David"/>
          <w:sz w:val="24"/>
          <w:szCs w:val="24"/>
          <w:u w:val="none"/>
          <w:rtl/>
        </w:rPr>
        <w:t xml:space="preserve">ייצוגו של עורך דין </w:t>
      </w:r>
      <w:r>
        <w:rPr>
          <w:rFonts w:ascii="Arial" w:hAnsi="Arial" w:cs="David" w:hint="cs"/>
          <w:sz w:val="24"/>
          <w:szCs w:val="24"/>
          <w:u w:val="none"/>
          <w:rtl/>
        </w:rPr>
        <w:t>---</w:t>
      </w:r>
      <w:r>
        <w:rPr>
          <w:rFonts w:ascii="Arial" w:hAnsi="Arial" w:cs="David"/>
          <w:sz w:val="24"/>
          <w:szCs w:val="24"/>
          <w:u w:val="none"/>
          <w:rtl/>
        </w:rPr>
        <w:t xml:space="preserve"> בכל הנוגע לסכסוך ביניהם אינה </w:t>
      </w:r>
      <w:bookmarkStart w:id="2556" w:name="_ETM_Q_1026037"/>
      <w:bookmarkEnd w:id="2556"/>
      <w:r>
        <w:rPr>
          <w:rFonts w:ascii="Arial" w:hAnsi="Arial" w:cs="David"/>
          <w:sz w:val="24"/>
          <w:szCs w:val="24"/>
          <w:u w:val="none"/>
          <w:rtl/>
        </w:rPr>
        <w:t xml:space="preserve">מהווה הפרה של ייפוי הכוח הבלתי חוזר ואינה מהווה עילה </w:t>
      </w:r>
      <w:bookmarkStart w:id="2557" w:name="_ETM_Q_1031682"/>
      <w:bookmarkEnd w:id="2557"/>
      <w:r>
        <w:rPr>
          <w:rFonts w:ascii="Arial" w:hAnsi="Arial" w:cs="David"/>
          <w:sz w:val="24"/>
          <w:szCs w:val="24"/>
          <w:u w:val="none"/>
          <w:rtl/>
        </w:rPr>
        <w:t xml:space="preserve">לביטול ההסכם. צד רשאי וזכאי ומדובר בפעולה מבורכת אותה יש </w:t>
      </w:r>
      <w:bookmarkStart w:id="2558" w:name="_ETM_Q_1040143"/>
      <w:bookmarkEnd w:id="2558"/>
      <w:r>
        <w:rPr>
          <w:rFonts w:ascii="Arial" w:hAnsi="Arial" w:cs="David"/>
          <w:sz w:val="24"/>
          <w:szCs w:val="24"/>
          <w:u w:val="none"/>
          <w:rtl/>
        </w:rPr>
        <w:t xml:space="preserve">לעודד בבתי המשפט, לקחת ייצוג בו הוא חפץ כאשר התעורר </w:t>
      </w:r>
      <w:bookmarkStart w:id="2559" w:name="_ETM_Q_1045784"/>
      <w:bookmarkEnd w:id="2559"/>
      <w:r>
        <w:rPr>
          <w:rFonts w:ascii="Arial" w:hAnsi="Arial" w:cs="David"/>
          <w:sz w:val="24"/>
          <w:szCs w:val="24"/>
          <w:u w:val="none"/>
          <w:rtl/>
        </w:rPr>
        <w:t xml:space="preserve">הסכסוך בין הצדדים. הנכדים לא פעלו כנגד סבתם או בניגוד </w:t>
      </w:r>
      <w:bookmarkStart w:id="2560" w:name="_ETM_Q_1052684"/>
      <w:bookmarkEnd w:id="2560"/>
      <w:r>
        <w:rPr>
          <w:rFonts w:ascii="Arial" w:hAnsi="Arial" w:cs="David"/>
          <w:sz w:val="24"/>
          <w:szCs w:val="24"/>
          <w:u w:val="none"/>
          <w:rtl/>
        </w:rPr>
        <w:t xml:space="preserve">למוסכם. הם ביקשו לממש את הזכויות עליהן הסכימו מול הסבתא </w:t>
      </w:r>
      <w:bookmarkStart w:id="2561" w:name="_ETM_Q_1059891"/>
      <w:bookmarkEnd w:id="2561"/>
      <w:r>
        <w:rPr>
          <w:rFonts w:ascii="Arial" w:hAnsi="Arial" w:cs="David"/>
          <w:sz w:val="24"/>
          <w:szCs w:val="24"/>
          <w:u w:val="none"/>
          <w:rtl/>
        </w:rPr>
        <w:t xml:space="preserve">בהתאם למסמכים הקיימים ונעזרו בעורך דין אחר רק כאשר החל </w:t>
      </w:r>
      <w:bookmarkStart w:id="2562" w:name="_ETM_Q_1065849"/>
      <w:bookmarkEnd w:id="2562"/>
      <w:r>
        <w:rPr>
          <w:rFonts w:ascii="Arial" w:hAnsi="Arial" w:cs="David"/>
          <w:sz w:val="24"/>
          <w:szCs w:val="24"/>
          <w:u w:val="none"/>
          <w:rtl/>
        </w:rPr>
        <w:t xml:space="preserve">כבר הסכסוך. אין לצפות ולדרוש מהם לפעול באמצעות עורך הדין </w:t>
      </w:r>
      <w:bookmarkStart w:id="2563" w:name="_ETM_Q_1077445"/>
      <w:bookmarkEnd w:id="2563"/>
      <w:r>
        <w:rPr>
          <w:rFonts w:ascii="Arial" w:hAnsi="Arial" w:cs="David"/>
          <w:sz w:val="24"/>
          <w:szCs w:val="24"/>
          <w:u w:val="none"/>
          <w:rtl/>
        </w:rPr>
        <w:t xml:space="preserve">שהיה מוסכם אז על ידי כל ארבעת הצדדים, שעה שהתגלה </w:t>
      </w:r>
      <w:bookmarkStart w:id="2564" w:name="_ETM_Q_1083088"/>
      <w:bookmarkEnd w:id="2564"/>
      <w:r>
        <w:rPr>
          <w:rFonts w:ascii="Arial" w:hAnsi="Arial" w:cs="David"/>
          <w:sz w:val="24"/>
          <w:szCs w:val="24"/>
          <w:u w:val="none"/>
          <w:rtl/>
        </w:rPr>
        <w:t xml:space="preserve">הסכסוך בין הצדדים. </w:t>
      </w:r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בכל הנוגע לנושא הערת האזהרה לטובתה של </w:t>
      </w:r>
      <w:bookmarkStart w:id="2565" w:name="_ETM_Q_1096253"/>
      <w:bookmarkEnd w:id="2565"/>
      <w:r>
        <w:rPr>
          <w:rFonts w:ascii="Arial" w:hAnsi="Arial" w:cs="David"/>
          <w:sz w:val="24"/>
          <w:szCs w:val="24"/>
          <w:u w:val="none"/>
          <w:rtl/>
        </w:rPr>
        <w:t xml:space="preserve">הבת </w:t>
      </w:r>
      <w:r>
        <w:rPr>
          <w:rFonts w:ascii="Arial" w:hAnsi="Arial" w:cs="David" w:hint="cs"/>
          <w:sz w:val="24"/>
          <w:szCs w:val="24"/>
          <w:u w:val="none"/>
          <w:rtl/>
        </w:rPr>
        <w:t xml:space="preserve">**** </w:t>
      </w:r>
      <w:r>
        <w:rPr>
          <w:rFonts w:ascii="Arial" w:hAnsi="Arial" w:cs="David"/>
          <w:sz w:val="24"/>
          <w:szCs w:val="24"/>
          <w:u w:val="none"/>
          <w:rtl/>
        </w:rPr>
        <w:t xml:space="preserve">- אין בכוונתי לדון בהליך זה במשמעויות של נושא </w:t>
      </w:r>
      <w:bookmarkStart w:id="2566" w:name="_ETM_Q_1106283"/>
      <w:bookmarkEnd w:id="2566"/>
      <w:r>
        <w:rPr>
          <w:rFonts w:ascii="Arial" w:hAnsi="Arial" w:cs="David"/>
          <w:sz w:val="24"/>
          <w:szCs w:val="24"/>
          <w:u w:val="none"/>
          <w:rtl/>
        </w:rPr>
        <w:t xml:space="preserve">זה, הדברים חורגים מנושא הליך זה ויהיה צורך לברר </w:t>
      </w:r>
      <w:bookmarkStart w:id="2567" w:name="_ETM_Q_1112558"/>
      <w:bookmarkEnd w:id="2567"/>
      <w:r>
        <w:rPr>
          <w:rFonts w:ascii="Arial" w:hAnsi="Arial" w:cs="David"/>
          <w:sz w:val="24"/>
          <w:szCs w:val="24"/>
          <w:u w:val="none"/>
          <w:rtl/>
        </w:rPr>
        <w:t xml:space="preserve">אותם במקום ובזמן המתאים.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לאור אופי ההליך שבפניי ועל מנת </w:t>
      </w:r>
      <w:bookmarkStart w:id="2568" w:name="_ETM_Q_1122587"/>
      <w:bookmarkEnd w:id="2568"/>
      <w:r>
        <w:rPr>
          <w:rFonts w:ascii="Arial" w:hAnsi="Arial" w:cs="David"/>
          <w:sz w:val="24"/>
          <w:szCs w:val="24"/>
          <w:u w:val="none"/>
          <w:rtl/>
        </w:rPr>
        <w:t xml:space="preserve">לאפשר לתובעת את זכות הערעור, ניתן עיכוב ביצוע ל- 60 </w:t>
      </w:r>
      <w:bookmarkStart w:id="2569" w:name="_ETM_Q_1129796"/>
      <w:bookmarkEnd w:id="2569"/>
      <w:r>
        <w:rPr>
          <w:rFonts w:ascii="Arial" w:hAnsi="Arial" w:cs="David"/>
          <w:sz w:val="24"/>
          <w:szCs w:val="24"/>
          <w:u w:val="none"/>
          <w:rtl/>
        </w:rPr>
        <w:t xml:space="preserve">יום לפני שתיעשה כל העברה של הזכויות במקרקעין.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רשמתי בפניי </w:t>
      </w:r>
      <w:bookmarkStart w:id="2570" w:name="_ETM_Q_1137633"/>
      <w:bookmarkEnd w:id="2570"/>
      <w:r>
        <w:rPr>
          <w:rFonts w:ascii="Arial" w:hAnsi="Arial" w:cs="David"/>
          <w:sz w:val="24"/>
          <w:szCs w:val="24"/>
          <w:u w:val="none"/>
          <w:rtl/>
        </w:rPr>
        <w:t xml:space="preserve">גם את הצהרות הנכדים שלא יפעלו לפנות את התובעת מהדירה </w:t>
      </w:r>
      <w:bookmarkStart w:id="2571" w:name="_ETM_Q_1145471"/>
      <w:bookmarkEnd w:id="2571"/>
      <w:r>
        <w:rPr>
          <w:rFonts w:ascii="Arial" w:hAnsi="Arial" w:cs="David"/>
          <w:sz w:val="24"/>
          <w:szCs w:val="24"/>
          <w:u w:val="none"/>
          <w:rtl/>
        </w:rPr>
        <w:t xml:space="preserve">ולא היה בכוונתם גם לעשות כן.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בכל הנוגע לחיוב בהוצאות, </w:t>
      </w:r>
      <w:bookmarkStart w:id="2572" w:name="_ETM_Q_1157068"/>
      <w:bookmarkEnd w:id="2572"/>
      <w:r>
        <w:rPr>
          <w:rFonts w:ascii="Arial" w:hAnsi="Arial" w:cs="David"/>
          <w:sz w:val="24"/>
          <w:szCs w:val="24"/>
          <w:u w:val="none"/>
          <w:rtl/>
        </w:rPr>
        <w:t xml:space="preserve">ככלל, על פי תקנות סדר הדין החדשות יש לפסוק לבעל </w:t>
      </w:r>
      <w:bookmarkStart w:id="2573" w:name="_ETM_Q_1161142"/>
      <w:bookmarkEnd w:id="2573"/>
      <w:r>
        <w:rPr>
          <w:rFonts w:ascii="Arial" w:hAnsi="Arial" w:cs="David"/>
          <w:sz w:val="24"/>
          <w:szCs w:val="24"/>
          <w:u w:val="none"/>
          <w:rtl/>
        </w:rPr>
        <w:t xml:space="preserve">דין שזכה בהליך הוצאות ראליות, סבירות, מידתיות והכרחיות שהוציא </w:t>
      </w:r>
      <w:bookmarkStart w:id="2574" w:name="_ETM_Q_1170754"/>
      <w:bookmarkEnd w:id="2574"/>
      <w:r>
        <w:rPr>
          <w:rFonts w:ascii="Arial" w:hAnsi="Arial" w:cs="David"/>
          <w:sz w:val="24"/>
          <w:szCs w:val="24"/>
          <w:u w:val="none"/>
          <w:rtl/>
        </w:rPr>
        <w:t xml:space="preserve">לניהול ההליך. זהו הכלל, עם זאת, בפסק דין שניתן לאחרונה, </w:t>
      </w:r>
      <w:bookmarkStart w:id="2575" w:name="_ETM_Q_1177340"/>
      <w:bookmarkEnd w:id="2575"/>
      <w:r>
        <w:rPr>
          <w:rFonts w:ascii="Arial" w:hAnsi="Arial" w:cs="David" w:hint="cs"/>
          <w:sz w:val="24"/>
          <w:szCs w:val="24"/>
          <w:u w:val="none"/>
          <w:rtl/>
        </w:rPr>
        <w:t>ע"א</w:t>
      </w:r>
      <w:r>
        <w:rPr>
          <w:rFonts w:ascii="Arial" w:hAnsi="Arial" w:cs="David"/>
          <w:sz w:val="24"/>
          <w:szCs w:val="24"/>
          <w:u w:val="none"/>
          <w:rtl/>
        </w:rPr>
        <w:t xml:space="preserve"> 7627</w:t>
      </w:r>
      <w:r>
        <w:rPr>
          <w:rFonts w:ascii="Arial" w:hAnsi="Arial" w:cs="David" w:hint="cs"/>
          <w:sz w:val="24"/>
          <w:szCs w:val="24"/>
          <w:u w:val="none"/>
          <w:rtl/>
        </w:rPr>
        <w:t>/</w:t>
      </w:r>
      <w:r>
        <w:rPr>
          <w:rFonts w:ascii="Arial" w:hAnsi="Arial" w:cs="David"/>
          <w:sz w:val="24"/>
          <w:szCs w:val="24"/>
          <w:u w:val="none"/>
          <w:rtl/>
        </w:rPr>
        <w:t xml:space="preserve">20, עומד בית המשפט העליון על הכלל שבעל </w:t>
      </w:r>
      <w:bookmarkStart w:id="2576" w:name="_ETM_Q_1186113"/>
      <w:bookmarkEnd w:id="2576"/>
      <w:r>
        <w:rPr>
          <w:rFonts w:ascii="Arial" w:hAnsi="Arial" w:cs="David"/>
          <w:sz w:val="24"/>
          <w:szCs w:val="24"/>
          <w:u w:val="none"/>
          <w:rtl/>
        </w:rPr>
        <w:t>דין שזכה במשפט זכאי לקבל החזר הוצאותיו. אולם, הערכאה הדיוני</w:t>
      </w:r>
      <w:bookmarkStart w:id="2577" w:name="_ETM_Q_1193641"/>
      <w:bookmarkEnd w:id="2577"/>
      <w:r>
        <w:rPr>
          <w:rFonts w:ascii="Arial" w:hAnsi="Arial" w:cs="David"/>
          <w:sz w:val="24"/>
          <w:szCs w:val="24"/>
          <w:u w:val="none"/>
          <w:rtl/>
        </w:rPr>
        <w:t xml:space="preserve">ת רשאית לסטות מכלל זה במסגרת שיקול הדעת המסור </w:t>
      </w:r>
      <w:bookmarkStart w:id="2578" w:name="_ETM_Q_1198027"/>
      <w:bookmarkEnd w:id="2578"/>
      <w:r>
        <w:rPr>
          <w:rFonts w:ascii="Arial" w:hAnsi="Arial" w:cs="David"/>
          <w:sz w:val="24"/>
          <w:szCs w:val="24"/>
          <w:u w:val="none"/>
          <w:rtl/>
        </w:rPr>
        <w:t xml:space="preserve">לה. שקלתי את הנסיבות המשפחתיות ואני סבורה כי במקרה זה, </w:t>
      </w:r>
      <w:bookmarkStart w:id="2579" w:name="_ETM_Q_1206489"/>
      <w:bookmarkEnd w:id="2579"/>
      <w:r>
        <w:rPr>
          <w:rFonts w:ascii="Arial" w:hAnsi="Arial" w:cs="David"/>
          <w:sz w:val="24"/>
          <w:szCs w:val="24"/>
          <w:u w:val="none"/>
          <w:rtl/>
        </w:rPr>
        <w:t xml:space="preserve">קיימים שיקולים מכריעים לאי פסיקת הוצאות לחובתה של התובעת כלל. </w:t>
      </w:r>
      <w:bookmarkStart w:id="2580" w:name="_ETM_Q_1216522"/>
      <w:bookmarkEnd w:id="2580"/>
      <w:r>
        <w:rPr>
          <w:rFonts w:ascii="Arial" w:hAnsi="Arial" w:cs="David"/>
          <w:sz w:val="24"/>
          <w:szCs w:val="24"/>
          <w:u w:val="none"/>
          <w:rtl/>
        </w:rPr>
        <w:t xml:space="preserve">בית משפט זה התרשם מהאופן בו ניהלו שני הצדדים את </w:t>
      </w:r>
      <w:bookmarkStart w:id="2581" w:name="_ETM_Q_1224670"/>
      <w:bookmarkEnd w:id="2581"/>
      <w:r>
        <w:rPr>
          <w:rFonts w:ascii="Arial" w:hAnsi="Arial" w:cs="David"/>
          <w:sz w:val="24"/>
          <w:szCs w:val="24"/>
          <w:u w:val="none"/>
          <w:rtl/>
        </w:rPr>
        <w:t xml:space="preserve">ההליך שבפניי, מהיקפו של ההליך וכן, מיחסי המשפחה הקיימים. שלטעמי, </w:t>
      </w:r>
      <w:bookmarkStart w:id="2582" w:name="_ETM_Q_1240346"/>
      <w:bookmarkEnd w:id="2582"/>
      <w:r>
        <w:rPr>
          <w:rFonts w:ascii="Arial" w:hAnsi="Arial" w:cs="David"/>
          <w:sz w:val="24"/>
          <w:szCs w:val="24"/>
          <w:u w:val="none"/>
          <w:rtl/>
        </w:rPr>
        <w:t xml:space="preserve">יש להם משקל רב שיש לתת לו במקרה זה מקום </w:t>
      </w:r>
      <w:bookmarkStart w:id="2583" w:name="_ETM_Q_1251629"/>
      <w:bookmarkEnd w:id="2583"/>
      <w:r>
        <w:rPr>
          <w:rFonts w:ascii="Arial" w:hAnsi="Arial" w:cs="David"/>
          <w:sz w:val="24"/>
          <w:szCs w:val="24"/>
          <w:u w:val="none"/>
          <w:rtl/>
        </w:rPr>
        <w:t xml:space="preserve">רב ביותר. בית המשפט העליון מציין בהקשר זה כי לא </w:t>
      </w:r>
      <w:bookmarkStart w:id="2584" w:name="_ETM_Q_1262920"/>
      <w:bookmarkEnd w:id="2584"/>
      <w:r>
        <w:rPr>
          <w:rFonts w:ascii="Arial" w:hAnsi="Arial" w:cs="David"/>
          <w:sz w:val="24"/>
          <w:szCs w:val="24"/>
          <w:u w:val="none"/>
          <w:rtl/>
        </w:rPr>
        <w:t xml:space="preserve">אחת אכן קורה שבתי משפט מחליטים שלא לפסוק הוצאות בשל </w:t>
      </w:r>
      <w:bookmarkStart w:id="2585" w:name="_ETM_Q_1269187"/>
      <w:bookmarkEnd w:id="2585"/>
      <w:r>
        <w:rPr>
          <w:rFonts w:ascii="Arial" w:hAnsi="Arial" w:cs="David"/>
          <w:sz w:val="24"/>
          <w:szCs w:val="24"/>
          <w:u w:val="none"/>
          <w:rtl/>
        </w:rPr>
        <w:t xml:space="preserve">נסיבות ספציפיות של התיק שלפניו, גם בשל נסיבות הכרוכות בצדדים </w:t>
      </w:r>
      <w:bookmarkStart w:id="2586" w:name="_ETM_Q_1277960"/>
      <w:bookmarkEnd w:id="2586"/>
      <w:r>
        <w:rPr>
          <w:rFonts w:ascii="Arial" w:hAnsi="Arial" w:cs="David"/>
          <w:sz w:val="24"/>
          <w:szCs w:val="24"/>
          <w:u w:val="none"/>
          <w:rtl/>
        </w:rPr>
        <w:t xml:space="preserve">ונותן דוגמא גם הליכים בין בני משפחה. בנסיבות העניין, אני </w:t>
      </w:r>
      <w:bookmarkStart w:id="2587" w:name="_ETM_Q_1285171"/>
      <w:bookmarkEnd w:id="2587"/>
      <w:r>
        <w:rPr>
          <w:rFonts w:ascii="Arial" w:hAnsi="Arial" w:cs="David"/>
          <w:sz w:val="24"/>
          <w:szCs w:val="24"/>
          <w:u w:val="none"/>
          <w:rtl/>
        </w:rPr>
        <w:t xml:space="preserve">סבורה כי זהו מקרה שבו גם לאור התנהלות הנתבעים כפי </w:t>
      </w:r>
      <w:bookmarkStart w:id="2588" w:name="_ETM_Q_1290503"/>
      <w:bookmarkEnd w:id="2588"/>
      <w:r>
        <w:rPr>
          <w:rFonts w:ascii="Arial" w:hAnsi="Arial" w:cs="David"/>
          <w:sz w:val="24"/>
          <w:szCs w:val="24"/>
          <w:u w:val="none"/>
          <w:rtl/>
        </w:rPr>
        <w:t xml:space="preserve">שקיבלה ביטוי נרחב מאוד בדיון הארוך מאוד שהתקיים בפניי, אינה </w:t>
      </w:r>
      <w:bookmarkStart w:id="2589" w:name="_ETM_Q_1298338"/>
      <w:bookmarkEnd w:id="2589"/>
      <w:r>
        <w:rPr>
          <w:rFonts w:ascii="Arial" w:hAnsi="Arial" w:cs="David"/>
          <w:sz w:val="24"/>
          <w:szCs w:val="24"/>
          <w:u w:val="none"/>
          <w:rtl/>
        </w:rPr>
        <w:t xml:space="preserve">מזכה אותם בהוצאות עבור הליך זה על אף תוצאתו. </w:t>
      </w:r>
      <w:bookmarkStart w:id="2590" w:name="_ETM_Q_1304608"/>
      <w:bookmarkEnd w:id="2590"/>
    </w:p>
    <w:p w:rsidR="00503834" w:rsidRDefault="00503834" w:rsidP="00503834">
      <w:pPr>
        <w:pStyle w:val="a6"/>
        <w:rPr>
          <w:rFonts w:ascii="Arial" w:hAnsi="Arial"/>
          <w:rtl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lastRenderedPageBreak/>
        <w:t xml:space="preserve">בשולי פסק הדין אך לא בשוליו – מבחינה משפטית, </w:t>
      </w:r>
      <w:bookmarkStart w:id="2591" w:name="_ETM_Q_1315266"/>
      <w:bookmarkEnd w:id="2591"/>
      <w:r>
        <w:rPr>
          <w:rFonts w:ascii="Arial" w:hAnsi="Arial" w:cs="David"/>
          <w:sz w:val="24"/>
          <w:szCs w:val="24"/>
          <w:u w:val="none"/>
          <w:rtl/>
        </w:rPr>
        <w:t xml:space="preserve">לא הצליחה התובעת להוכיח את תביעתה. נעשה מאמץ זמן ארוך </w:t>
      </w:r>
      <w:bookmarkStart w:id="2592" w:name="_ETM_Q_1325612"/>
      <w:bookmarkEnd w:id="2592"/>
      <w:r>
        <w:rPr>
          <w:rFonts w:ascii="Arial" w:hAnsi="Arial" w:cs="David"/>
          <w:sz w:val="24"/>
          <w:szCs w:val="24"/>
          <w:u w:val="none"/>
          <w:rtl/>
        </w:rPr>
        <w:t xml:space="preserve">הן בדיון היום והן בדיונים הקודמים שהתנהלו להביא את הצדדים </w:t>
      </w:r>
      <w:bookmarkStart w:id="2593" w:name="_ETM_Q_1334073"/>
      <w:bookmarkEnd w:id="2593"/>
      <w:r>
        <w:rPr>
          <w:rFonts w:ascii="Arial" w:hAnsi="Arial" w:cs="David"/>
          <w:sz w:val="24"/>
          <w:szCs w:val="24"/>
          <w:u w:val="none"/>
          <w:rtl/>
        </w:rPr>
        <w:t xml:space="preserve">לידי הסכמה אשר בסופו של יום, תביא מזור ולו חלקי </w:t>
      </w:r>
      <w:bookmarkStart w:id="2594" w:name="_ETM_Q_1335018"/>
      <w:bookmarkEnd w:id="2594"/>
      <w:r>
        <w:rPr>
          <w:rFonts w:ascii="Arial" w:hAnsi="Arial" w:cs="David"/>
          <w:sz w:val="24"/>
          <w:szCs w:val="24"/>
          <w:u w:val="none"/>
          <w:rtl/>
        </w:rPr>
        <w:t xml:space="preserve">למצב המשפחתי הקשה אליו נקלעה המשפחה. הדברים לטעמי מקבלים משקל </w:t>
      </w:r>
      <w:bookmarkStart w:id="2595" w:name="_ETM_Q_1348809"/>
      <w:bookmarkEnd w:id="2595"/>
      <w:r>
        <w:rPr>
          <w:rFonts w:ascii="Arial" w:hAnsi="Arial" w:cs="David"/>
          <w:sz w:val="24"/>
          <w:szCs w:val="24"/>
          <w:u w:val="none"/>
          <w:rtl/>
        </w:rPr>
        <w:t xml:space="preserve">יתר כאשר שני צדדים מהותיים למחלוקות שזו הבת והבן, </w:t>
      </w:r>
      <w:bookmarkStart w:id="2596" w:name="_ETM_Q_1358835"/>
      <w:bookmarkEnd w:id="2596"/>
      <w:r>
        <w:rPr>
          <w:rFonts w:ascii="Arial" w:hAnsi="Arial" w:cs="David"/>
          <w:sz w:val="24"/>
          <w:szCs w:val="24"/>
          <w:u w:val="none"/>
          <w:rtl/>
        </w:rPr>
        <w:t xml:space="preserve">נמנעו מלקחת חלק פעיל בהליך. עם זאת, שוכנעתי כי היו </w:t>
      </w:r>
      <w:bookmarkStart w:id="2597" w:name="_ETM_Q_1366049"/>
      <w:bookmarkEnd w:id="2597"/>
      <w:r>
        <w:rPr>
          <w:rFonts w:ascii="Arial" w:hAnsi="Arial" w:cs="David"/>
          <w:sz w:val="24"/>
          <w:szCs w:val="24"/>
          <w:u w:val="none"/>
          <w:rtl/>
        </w:rPr>
        <w:t xml:space="preserve">שותפים כל אחד בדרכו ובצורה שונה ובוודאי, שניהם יודעים ומיודעים </w:t>
      </w:r>
      <w:bookmarkStart w:id="2598" w:name="_ETM_Q_1374197"/>
      <w:bookmarkEnd w:id="2598"/>
      <w:r>
        <w:rPr>
          <w:rFonts w:ascii="Arial" w:hAnsi="Arial" w:cs="David"/>
          <w:sz w:val="24"/>
          <w:szCs w:val="24"/>
          <w:u w:val="none"/>
          <w:rtl/>
        </w:rPr>
        <w:t xml:space="preserve">היטב להליך. צר לי כי הצדדים לא הגיעו להסכמה. בית </w:t>
      </w:r>
      <w:bookmarkStart w:id="2599" w:name="_ETM_Q_1380778"/>
      <w:bookmarkEnd w:id="2599"/>
      <w:r>
        <w:rPr>
          <w:rFonts w:ascii="Arial" w:hAnsi="Arial" w:cs="David"/>
          <w:sz w:val="24"/>
          <w:szCs w:val="24"/>
          <w:u w:val="none"/>
          <w:rtl/>
        </w:rPr>
        <w:t xml:space="preserve">משפט יכול לעשות את מאמציו, בסופו של </w:t>
      </w:r>
      <w:bookmarkStart w:id="2600" w:name="_ETM_Q_1383291"/>
      <w:bookmarkEnd w:id="2600"/>
      <w:r>
        <w:rPr>
          <w:rFonts w:ascii="Arial" w:hAnsi="Arial" w:cs="David"/>
          <w:sz w:val="24"/>
          <w:szCs w:val="24"/>
          <w:u w:val="none"/>
          <w:rtl/>
        </w:rPr>
        <w:t xml:space="preserve">יום, זו זכות של הצדדים לנהל הליך משפטי ולקבל פסק </w:t>
      </w:r>
      <w:bookmarkStart w:id="2601" w:name="_ETM_Q_1391128"/>
      <w:bookmarkEnd w:id="2601"/>
      <w:r>
        <w:rPr>
          <w:rFonts w:ascii="Arial" w:hAnsi="Arial" w:cs="David"/>
          <w:sz w:val="24"/>
          <w:szCs w:val="24"/>
          <w:u w:val="none"/>
          <w:rtl/>
        </w:rPr>
        <w:t xml:space="preserve">דין. אין לי אלא לקוות כי טרם שיוגשו תביעות נוספות </w:t>
      </w:r>
      <w:bookmarkStart w:id="2602" w:name="_ETM_Q_1399591"/>
      <w:bookmarkEnd w:id="2602"/>
      <w:r>
        <w:rPr>
          <w:rFonts w:ascii="Arial" w:hAnsi="Arial" w:cs="David"/>
          <w:sz w:val="24"/>
          <w:szCs w:val="24"/>
          <w:u w:val="none"/>
          <w:rtl/>
        </w:rPr>
        <w:t>ויחל סבב נוסף, תיעשה חשיבה מחודשת, מושכלת עבור כל הצדדים</w:t>
      </w:r>
      <w:bookmarkStart w:id="2603" w:name="_ETM_Q_1405560"/>
      <w:bookmarkEnd w:id="2603"/>
      <w:r>
        <w:rPr>
          <w:rFonts w:ascii="Arial" w:hAnsi="Arial" w:cs="David"/>
          <w:sz w:val="24"/>
          <w:szCs w:val="24"/>
          <w:u w:val="none"/>
          <w:rtl/>
        </w:rPr>
        <w:t xml:space="preserve"> ובהתחשב בגילה המופלג של התובעת אל מול יכולותיהם של הנתבעים </w:t>
      </w:r>
      <w:bookmarkStart w:id="2604" w:name="_ETM_Q_1420907"/>
      <w:bookmarkEnd w:id="2604"/>
      <w:r>
        <w:rPr>
          <w:rFonts w:ascii="Arial" w:hAnsi="Arial" w:cs="David"/>
          <w:sz w:val="24"/>
          <w:szCs w:val="24"/>
          <w:u w:val="none"/>
          <w:rtl/>
        </w:rPr>
        <w:t xml:space="preserve">והיותם בסופו של יום, נכדיה שבעתות טובות יותר היו נכדים </w:t>
      </w:r>
      <w:bookmarkStart w:id="2605" w:name="_ETM_Q_1427800"/>
      <w:bookmarkEnd w:id="2605"/>
      <w:r>
        <w:rPr>
          <w:rFonts w:ascii="Arial" w:hAnsi="Arial" w:cs="David"/>
          <w:sz w:val="24"/>
          <w:szCs w:val="24"/>
          <w:u w:val="none"/>
          <w:rtl/>
        </w:rPr>
        <w:t xml:space="preserve">אהובים שהיא רצתה להיטיב עמם. נדמה שעניין זה נשכח בלהט </w:t>
      </w:r>
      <w:bookmarkStart w:id="2606" w:name="_ETM_Q_1435324"/>
      <w:bookmarkEnd w:id="2606"/>
      <w:r>
        <w:rPr>
          <w:rFonts w:ascii="Arial" w:hAnsi="Arial" w:cs="David"/>
          <w:sz w:val="24"/>
          <w:szCs w:val="24"/>
          <w:u w:val="none"/>
          <w:rtl/>
        </w:rPr>
        <w:t>ההליכים והסכסוך ואני תקווה על אף תוצאתו של פסק הדין</w:t>
      </w:r>
      <w:bookmarkStart w:id="2607" w:name="_ETM_Q_1441592"/>
      <w:bookmarkEnd w:id="2607"/>
      <w:r>
        <w:rPr>
          <w:rFonts w:ascii="Arial" w:hAnsi="Arial" w:cs="David"/>
          <w:sz w:val="24"/>
          <w:szCs w:val="24"/>
          <w:u w:val="none"/>
          <w:rtl/>
        </w:rPr>
        <w:t xml:space="preserve">, כי תיעשה חשיבה מחודשת נוספת בעניין זה </w:t>
      </w:r>
      <w:bookmarkStart w:id="2608" w:name="_ETM_Q_1445669"/>
      <w:bookmarkEnd w:id="2608"/>
      <w:r>
        <w:rPr>
          <w:rFonts w:ascii="Arial" w:hAnsi="Arial" w:cs="David"/>
          <w:sz w:val="24"/>
          <w:szCs w:val="24"/>
          <w:u w:val="none"/>
          <w:rtl/>
        </w:rPr>
        <w:t xml:space="preserve">טרם שיוגשו הליכים נוספים והסכסוך יוחרף.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לאחר שיוגש הפרוטוקול </w:t>
      </w:r>
      <w:proofErr w:type="spellStart"/>
      <w:r>
        <w:rPr>
          <w:rFonts w:ascii="Arial" w:hAnsi="Arial" w:cs="David"/>
          <w:sz w:val="24"/>
          <w:szCs w:val="24"/>
          <w:u w:val="none"/>
          <w:rtl/>
        </w:rPr>
        <w:t>המתומלל</w:t>
      </w:r>
      <w:proofErr w:type="spellEnd"/>
      <w:r>
        <w:rPr>
          <w:rFonts w:ascii="Arial" w:hAnsi="Arial" w:cs="David"/>
          <w:sz w:val="24"/>
          <w:szCs w:val="24"/>
          <w:u w:val="none"/>
          <w:rtl/>
        </w:rPr>
        <w:t xml:space="preserve">, </w:t>
      </w:r>
      <w:bookmarkStart w:id="2609" w:name="_ETM_Q_1458210"/>
      <w:bookmarkEnd w:id="2609"/>
      <w:r>
        <w:rPr>
          <w:rFonts w:ascii="Arial" w:hAnsi="Arial" w:cs="David"/>
          <w:sz w:val="24"/>
          <w:szCs w:val="24"/>
          <w:u w:val="none"/>
          <w:rtl/>
        </w:rPr>
        <w:t xml:space="preserve">הוא יועלה לנט ויועבר כמובן לבאי כוח הצדדים. </w:t>
      </w:r>
    </w:p>
    <w:p w:rsidR="00BB4B5B" w:rsidRDefault="00BB4B5B" w:rsidP="00BB4B5B">
      <w:pPr>
        <w:pStyle w:val="a4"/>
        <w:shd w:val="clear" w:color="auto" w:fill="auto"/>
        <w:spacing w:line="360" w:lineRule="auto"/>
        <w:ind w:left="567" w:firstLine="0"/>
        <w:jc w:val="both"/>
        <w:rPr>
          <w:rFonts w:ascii="Arial" w:hAnsi="Arial" w:cs="David"/>
          <w:sz w:val="24"/>
          <w:szCs w:val="24"/>
          <w:u w:val="none"/>
        </w:rPr>
      </w:pPr>
    </w:p>
    <w:p w:rsidR="00503834" w:rsidRDefault="00503834" w:rsidP="00503834">
      <w:pPr>
        <w:pStyle w:val="a4"/>
        <w:numPr>
          <w:ilvl w:val="0"/>
          <w:numId w:val="1"/>
        </w:numPr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  <w:rtl/>
        </w:rPr>
      </w:pPr>
      <w:r>
        <w:rPr>
          <w:rFonts w:ascii="Arial" w:hAnsi="Arial" w:cs="David"/>
          <w:sz w:val="24"/>
          <w:szCs w:val="24"/>
          <w:u w:val="none"/>
          <w:rtl/>
        </w:rPr>
        <w:t xml:space="preserve">המזכירות תסגור </w:t>
      </w:r>
      <w:bookmarkStart w:id="2610" w:name="_ETM_Q_1465415"/>
      <w:bookmarkEnd w:id="2610"/>
      <w:r>
        <w:rPr>
          <w:rFonts w:ascii="Arial" w:hAnsi="Arial" w:cs="David"/>
          <w:sz w:val="24"/>
          <w:szCs w:val="24"/>
          <w:u w:val="none"/>
          <w:rtl/>
        </w:rPr>
        <w:t>את התיק.</w:t>
      </w:r>
    </w:p>
    <w:p w:rsidR="00503834" w:rsidRDefault="00503834" w:rsidP="00503834">
      <w:pPr>
        <w:pStyle w:val="a4"/>
        <w:shd w:val="clear" w:color="auto" w:fill="auto"/>
        <w:spacing w:line="360" w:lineRule="auto"/>
        <w:ind w:left="942" w:firstLine="0"/>
        <w:jc w:val="both"/>
        <w:rPr>
          <w:rFonts w:ascii="Arial" w:hAnsi="Arial" w:cs="David"/>
          <w:sz w:val="6"/>
          <w:szCs w:val="6"/>
          <w:u w:val="none"/>
          <w:rtl/>
        </w:rPr>
      </w:pPr>
    </w:p>
    <w:p w:rsidR="00503834" w:rsidRDefault="00503834" w:rsidP="00503834">
      <w:pPr>
        <w:pStyle w:val="a4"/>
        <w:shd w:val="clear" w:color="auto" w:fill="auto"/>
        <w:spacing w:line="360" w:lineRule="auto"/>
        <w:ind w:left="942" w:firstLine="0"/>
        <w:jc w:val="both"/>
        <w:rPr>
          <w:rFonts w:ascii="Arial" w:hAnsi="Arial" w:cs="David"/>
          <w:sz w:val="6"/>
          <w:szCs w:val="6"/>
          <w:u w:val="none"/>
          <w:rtl/>
        </w:rPr>
      </w:pPr>
      <w:r>
        <w:rPr>
          <w:rFonts w:ascii="Arial" w:hAnsi="Arial" w:cs="David"/>
          <w:sz w:val="6"/>
          <w:szCs w:val="6"/>
          <w:u w:val="none"/>
          <w:rtl/>
        </w:rPr>
        <w:t>&lt;#16#&gt;</w:t>
      </w:r>
    </w:p>
    <w:p w:rsidR="00503834" w:rsidRDefault="00503834" w:rsidP="00503834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ניתנה והודעה היום , </w:t>
      </w:r>
      <w:sdt>
        <w:sdtPr>
          <w:rPr>
            <w:rtl/>
          </w:rPr>
          <w:alias w:val="2206"/>
          <w:tag w:val="2206"/>
          <w:id w:val="602153246"/>
          <w:text w:multiLine="1"/>
        </w:sdtPr>
        <w:sdtEndPr/>
        <w:sdtContent>
          <w:r>
            <w:rPr>
              <w:b/>
              <w:bCs/>
            </w:rPr>
            <w:t>14/03/2022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tbl>
      <w:tblPr>
        <w:tblStyle w:val="a3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503834" w:rsidTr="00944057">
        <w:trPr>
          <w:trHeight w:val="316"/>
          <w:jc w:val="right"/>
        </w:trPr>
        <w:tc>
          <w:tcPr>
            <w:tcW w:w="3936" w:type="dxa"/>
            <w:vAlign w:val="center"/>
          </w:tcPr>
          <w:p w:rsidR="00503834" w:rsidRDefault="00190DD9" w:rsidP="00944057">
            <w:pPr>
              <w:jc w:val="center"/>
              <w:rPr>
                <w:rtl/>
              </w:rPr>
            </w:pPr>
            <w:sdt>
              <w:sdtPr>
                <w:rPr>
                  <w:rtl/>
                </w:rPr>
                <w:alias w:val="MergeField"/>
                <w:tag w:val="2144"/>
                <w:id w:val="135234350"/>
              </w:sdtPr>
              <w:sdtEndPr/>
              <w:sdtContent>
                <w:r w:rsidR="00503834">
                  <w:rPr>
                    <w:noProof/>
                  </w:rPr>
                  <w:drawing>
                    <wp:inline distT="0" distB="0" distL="0" distR="0" wp14:anchorId="1BBBCA46" wp14:editId="0E4BAC89">
                      <wp:extent cx="1600200" cy="619125"/>
                      <wp:effectExtent l="0" t="0" r="0" b="0"/>
                      <wp:docPr id="8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7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00200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03834" w:rsidTr="00944057">
        <w:trPr>
          <w:trHeight w:val="361"/>
          <w:jc w:val="right"/>
        </w:trPr>
        <w:tc>
          <w:tcPr>
            <w:tcW w:w="3936" w:type="dxa"/>
            <w:vAlign w:val="center"/>
          </w:tcPr>
          <w:p w:rsidR="00503834" w:rsidRPr="00C02017" w:rsidRDefault="00190DD9" w:rsidP="00944057">
            <w:pPr>
              <w:jc w:val="center"/>
              <w:rPr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-699554200"/>
                <w:placeholder>
                  <w:docPart w:val="DAEBD1C0779D40AD925276E24B0F34EF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תמר</w:t>
                </w:r>
              </w:sdtContent>
            </w:sdt>
            <w:r w:rsidR="00503834" w:rsidRPr="00C02017">
              <w:rPr>
                <w:rFonts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1069163446"/>
                <w:placeholder>
                  <w:docPart w:val="A0A7CCF0BD2C44D1B3EC7CD686793E7F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סנונית פורר</w:t>
                </w:r>
              </w:sdtContent>
            </w:sdt>
            <w:r w:rsidR="00503834" w:rsidRPr="00C02017">
              <w:rPr>
                <w:rFonts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082487363"/>
                <w:placeholder>
                  <w:docPart w:val="DF3315B538DD4A15A71A35DA8E886608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שופטת</w:t>
                </w:r>
              </w:sdtContent>
            </w:sdt>
          </w:p>
        </w:tc>
      </w:tr>
    </w:tbl>
    <w:p w:rsidR="00503834" w:rsidRDefault="00503834" w:rsidP="00503834">
      <w:pPr>
        <w:pStyle w:val="a4"/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  <w:rtl/>
        </w:rPr>
      </w:pPr>
      <w:bookmarkStart w:id="2611" w:name="_ETM_Q_977345"/>
      <w:bookmarkStart w:id="2612" w:name="_ETM_Q_1454130"/>
      <w:bookmarkStart w:id="2613" w:name="_ETM_Q_747260"/>
      <w:bookmarkStart w:id="2614" w:name="_ETM_Q_1456324"/>
      <w:bookmarkStart w:id="2615" w:name="_ETM_Q_27640"/>
      <w:bookmarkEnd w:id="2611"/>
      <w:bookmarkEnd w:id="2612"/>
      <w:bookmarkEnd w:id="2613"/>
      <w:bookmarkEnd w:id="2614"/>
      <w:bookmarkEnd w:id="2615"/>
    </w:p>
    <w:p w:rsidR="00503834" w:rsidRDefault="00503834" w:rsidP="00503834">
      <w:pPr>
        <w:pStyle w:val="a4"/>
        <w:shd w:val="clear" w:color="auto" w:fill="auto"/>
        <w:spacing w:line="360" w:lineRule="auto"/>
        <w:jc w:val="both"/>
        <w:rPr>
          <w:rFonts w:ascii="Arial" w:hAnsi="Arial" w:cs="David"/>
          <w:sz w:val="24"/>
          <w:szCs w:val="24"/>
          <w:u w:val="none"/>
          <w:rtl/>
        </w:rPr>
      </w:pPr>
    </w:p>
    <w:p w:rsidR="00503834" w:rsidRDefault="00503834" w:rsidP="00503834">
      <w:pPr>
        <w:pStyle w:val="a4"/>
        <w:shd w:val="clear" w:color="auto" w:fill="auto"/>
        <w:spacing w:line="360" w:lineRule="auto"/>
        <w:ind w:left="0" w:firstLine="0"/>
        <w:jc w:val="both"/>
        <w:rPr>
          <w:rFonts w:ascii="David" w:hAnsi="David" w:cs="David"/>
          <w:b w:val="0"/>
          <w:bCs w:val="0"/>
          <w:sz w:val="24"/>
          <w:szCs w:val="24"/>
          <w:u w:val="none"/>
          <w:rtl/>
        </w:rPr>
      </w:pPr>
      <w:r>
        <w:rPr>
          <w:rFonts w:ascii="Arial" w:hAnsi="Arial" w:cs="David" w:hint="cs"/>
          <w:sz w:val="24"/>
          <w:szCs w:val="24"/>
          <w:u w:val="none"/>
          <w:rtl/>
        </w:rPr>
        <w:t xml:space="preserve">הוספו על ידי לאחר הגעת הפרוט' </w:t>
      </w:r>
      <w:proofErr w:type="spellStart"/>
      <w:r>
        <w:rPr>
          <w:rFonts w:ascii="Arial" w:hAnsi="Arial" w:cs="David" w:hint="cs"/>
          <w:sz w:val="24"/>
          <w:szCs w:val="24"/>
          <w:u w:val="none"/>
          <w:rtl/>
        </w:rPr>
        <w:t>המתומלל</w:t>
      </w:r>
      <w:proofErr w:type="spellEnd"/>
      <w:r>
        <w:rPr>
          <w:rFonts w:ascii="Arial" w:hAnsi="Arial" w:cs="David" w:hint="cs"/>
          <w:sz w:val="24"/>
          <w:szCs w:val="24"/>
          <w:u w:val="none"/>
          <w:rtl/>
        </w:rPr>
        <w:t xml:space="preserve"> שינויי עריכה ומספור של פסק הדין לטובת הצדדים וב"כ . לא שונתה מילה בטקסט עצמו.</w:t>
      </w:r>
    </w:p>
    <w:tbl>
      <w:tblPr>
        <w:tblStyle w:val="a3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503834" w:rsidTr="00944057">
        <w:trPr>
          <w:trHeight w:val="316"/>
          <w:jc w:val="right"/>
        </w:trPr>
        <w:tc>
          <w:tcPr>
            <w:tcW w:w="3936" w:type="dxa"/>
            <w:vAlign w:val="center"/>
          </w:tcPr>
          <w:p w:rsidR="00503834" w:rsidRDefault="00190DD9" w:rsidP="00944057">
            <w:pPr>
              <w:jc w:val="center"/>
              <w:rPr>
                <w:rtl/>
              </w:rPr>
            </w:pPr>
            <w:sdt>
              <w:sdtPr>
                <w:rPr>
                  <w:rtl/>
                </w:rPr>
                <w:alias w:val="MergeField"/>
                <w:tag w:val="2144"/>
                <w:id w:val="1388298984"/>
              </w:sdtPr>
              <w:sdtEndPr/>
              <w:sdtContent>
                <w:r w:rsidR="00503834">
                  <w:rPr>
                    <w:noProof/>
                  </w:rPr>
                  <w:drawing>
                    <wp:inline distT="0" distB="0" distL="0" distR="0" wp14:anchorId="0826B3BA" wp14:editId="4FC9A3A3">
                      <wp:extent cx="1600200" cy="619125"/>
                      <wp:effectExtent l="0" t="0" r="0" b="0"/>
                      <wp:docPr id="9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7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00200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03834" w:rsidRPr="00C02017" w:rsidTr="00944057">
        <w:trPr>
          <w:trHeight w:val="361"/>
          <w:jc w:val="right"/>
        </w:trPr>
        <w:tc>
          <w:tcPr>
            <w:tcW w:w="3936" w:type="dxa"/>
            <w:vAlign w:val="center"/>
          </w:tcPr>
          <w:p w:rsidR="00503834" w:rsidRPr="00C02017" w:rsidRDefault="00190DD9" w:rsidP="00944057">
            <w:pPr>
              <w:jc w:val="center"/>
              <w:rPr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-1666860213"/>
                <w:placeholder>
                  <w:docPart w:val="FA60F44C40A34B0EAAD5918E74DC7C71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תמר</w:t>
                </w:r>
              </w:sdtContent>
            </w:sdt>
            <w:r w:rsidR="00503834" w:rsidRPr="00C02017">
              <w:rPr>
                <w:rFonts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1849553472"/>
                <w:placeholder>
                  <w:docPart w:val="9FA25EECC1994DD6865860EC0F8F496E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סנונית פורר</w:t>
                </w:r>
              </w:sdtContent>
            </w:sdt>
            <w:r w:rsidR="00503834" w:rsidRPr="00C02017">
              <w:rPr>
                <w:rFonts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-949932510"/>
                <w:placeholder>
                  <w:docPart w:val="563B738F6F124498B9AA9A482D28D451"/>
                </w:placeholder>
                <w:text w:multiLine="1"/>
              </w:sdtPr>
              <w:sdtEndPr/>
              <w:sdtContent>
                <w:r w:rsidR="00503834">
                  <w:rPr>
                    <w:b/>
                    <w:bCs/>
                    <w:rtl/>
                  </w:rPr>
                  <w:t>שופטת</w:t>
                </w:r>
              </w:sdtContent>
            </w:sdt>
          </w:p>
        </w:tc>
      </w:tr>
    </w:tbl>
    <w:p w:rsidR="00503834" w:rsidRPr="00F5659F" w:rsidRDefault="00503834" w:rsidP="00503834">
      <w:pPr>
        <w:pStyle w:val="a4"/>
        <w:shd w:val="clear" w:color="auto" w:fill="auto"/>
        <w:spacing w:line="360" w:lineRule="auto"/>
        <w:jc w:val="both"/>
        <w:rPr>
          <w:rFonts w:ascii="David" w:hAnsi="David" w:cs="David"/>
          <w:b w:val="0"/>
          <w:bCs w:val="0"/>
          <w:sz w:val="24"/>
          <w:szCs w:val="24"/>
          <w:u w:val="none"/>
          <w:rtl/>
        </w:rPr>
      </w:pPr>
    </w:p>
    <w:p w:rsidR="00503834" w:rsidRDefault="00503834" w:rsidP="00503834">
      <w:r>
        <w:rPr>
          <w:rFonts w:hint="cs"/>
          <w:rtl/>
        </w:rPr>
        <w:t>פסק הדין הותר לפרסום ללא כל פרט מזהה בהחלטה מיום 10.12.23.</w:t>
      </w:r>
    </w:p>
    <w:p w:rsidR="00656606" w:rsidRPr="00503834" w:rsidRDefault="00656606"/>
    <w:sectPr w:rsidR="00656606" w:rsidRPr="00503834" w:rsidSect="00166D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DD9" w:rsidRDefault="00190DD9" w:rsidP="00503834">
      <w:r>
        <w:separator/>
      </w:r>
    </w:p>
  </w:endnote>
  <w:endnote w:type="continuationSeparator" w:id="0">
    <w:p w:rsidR="00190DD9" w:rsidRDefault="00190DD9" w:rsidP="0050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A14" w:rsidRDefault="00FF1A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A14" w:rsidRDefault="00FF1A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A14" w:rsidRDefault="00FF1A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DD9" w:rsidRDefault="00190DD9" w:rsidP="00503834">
      <w:r>
        <w:separator/>
      </w:r>
    </w:p>
  </w:footnote>
  <w:footnote w:type="continuationSeparator" w:id="0">
    <w:p w:rsidR="00190DD9" w:rsidRDefault="00190DD9" w:rsidP="0050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A14" w:rsidRDefault="00FF1A1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834" w:rsidRDefault="00503834" w:rsidP="00503834">
    <w:pPr>
      <w:pStyle w:val="a7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7B80B09D" wp14:editId="13047BF6">
          <wp:extent cx="516890" cy="572770"/>
          <wp:effectExtent l="0" t="0" r="0" b="0"/>
          <wp:docPr id="5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391"/>
      <w:gridCol w:w="281"/>
      <w:gridCol w:w="2634"/>
    </w:tblGrid>
    <w:tr w:rsidR="00503834" w:rsidTr="00944057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gridSpan w:val="3"/>
            </w:tcPr>
            <w:p w:rsidR="00503834" w:rsidRDefault="00503834" w:rsidP="00503834">
              <w:pPr>
                <w:pStyle w:val="a7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משפט לענייני משפחה בתל אביב - יפו</w:t>
              </w:r>
            </w:p>
          </w:tc>
        </w:sdtContent>
      </w:sdt>
    </w:tr>
    <w:tr w:rsidR="00503834" w:rsidTr="00944057">
      <w:trPr>
        <w:trHeight w:val="337"/>
        <w:jc w:val="center"/>
      </w:trPr>
      <w:tc>
        <w:tcPr>
          <w:tcW w:w="5527" w:type="dxa"/>
        </w:tcPr>
        <w:p w:rsidR="00503834" w:rsidRDefault="00190DD9" w:rsidP="00503834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proofErr w:type="spellStart"/>
              <w:r w:rsidR="00503834">
                <w:rPr>
                  <w:b/>
                  <w:bCs/>
                  <w:sz w:val="26"/>
                  <w:szCs w:val="26"/>
                  <w:rtl/>
                </w:rPr>
                <w:t>תמ"ש</w:t>
              </w:r>
              <w:proofErr w:type="spellEnd"/>
            </w:sdtContent>
          </w:sdt>
          <w:r w:rsidR="00503834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bookmarkStart w:id="2616" w:name="_GoBack"/>
          <w:sdt>
            <w:sdtPr>
              <w:rPr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503834">
                <w:rPr>
                  <w:b/>
                  <w:bCs/>
                  <w:sz w:val="26"/>
                  <w:szCs w:val="26"/>
                  <w:rtl/>
                </w:rPr>
                <w:t>59818-11-20</w:t>
              </w:r>
            </w:sdtContent>
          </w:sdt>
          <w:bookmarkEnd w:id="2616"/>
          <w:r w:rsidR="00503834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293"/>
              <w:tag w:val="293"/>
              <w:id w:val="60302884"/>
              <w:text w:multiLine="1"/>
            </w:sdtPr>
            <w:sdtEndPr/>
            <w:sdtContent>
              <w:r w:rsidR="00503834">
                <w:rPr>
                  <w:rFonts w:hint="cs"/>
                  <w:b/>
                  <w:bCs/>
                  <w:sz w:val="26"/>
                  <w:szCs w:val="26"/>
                  <w:rtl/>
                </w:rPr>
                <w:t>הסבתא</w:t>
              </w:r>
              <w:r w:rsidR="00503834">
                <w:rPr>
                  <w:b/>
                  <w:bCs/>
                  <w:sz w:val="26"/>
                  <w:szCs w:val="26"/>
                  <w:rtl/>
                </w:rPr>
                <w:t xml:space="preserve"> נ' </w:t>
              </w:r>
              <w:r w:rsidR="00503834">
                <w:rPr>
                  <w:rFonts w:hint="cs"/>
                  <w:b/>
                  <w:bCs/>
                  <w:sz w:val="26"/>
                  <w:szCs w:val="26"/>
                  <w:rtl/>
                </w:rPr>
                <w:t>הנכדים</w:t>
              </w:r>
              <w:r w:rsidR="00503834">
                <w:rPr>
                  <w:b/>
                  <w:bCs/>
                  <w:sz w:val="26"/>
                  <w:szCs w:val="26"/>
                  <w:rtl/>
                </w:rPr>
                <w:t xml:space="preserve"> ואח'</w:t>
              </w:r>
            </w:sdtContent>
          </w:sdt>
        </w:p>
      </w:tc>
      <w:tc>
        <w:tcPr>
          <w:tcW w:w="283" w:type="dxa"/>
        </w:tcPr>
        <w:p w:rsidR="00503834" w:rsidRDefault="00503834" w:rsidP="00503834">
          <w:pPr>
            <w:pStyle w:val="a7"/>
            <w:jc w:val="right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b/>
            <w:bCs/>
            <w:sz w:val="26"/>
            <w:szCs w:val="26"/>
            <w:rtl/>
          </w:rPr>
          <w:alias w:val="2633"/>
          <w:tag w:val="2633"/>
          <w:id w:val="991297748"/>
          <w:text w:multiLine="1"/>
        </w:sdtPr>
        <w:sdtEndPr/>
        <w:sdtContent>
          <w:tc>
            <w:tcPr>
              <w:tcW w:w="2694" w:type="dxa"/>
            </w:tcPr>
            <w:p w:rsidR="00503834" w:rsidRDefault="00503834" w:rsidP="00503834">
              <w:pPr>
                <w:pStyle w:val="a7"/>
                <w:tabs>
                  <w:tab w:val="clear" w:pos="4153"/>
                </w:tabs>
                <w:jc w:val="right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14 מרץ 2022</w:t>
              </w:r>
            </w:p>
          </w:tc>
        </w:sdtContent>
      </w:sdt>
    </w:tr>
  </w:tbl>
  <w:p w:rsidR="00503834" w:rsidRDefault="00503834" w:rsidP="00503834">
    <w:pPr>
      <w:pStyle w:val="a7"/>
      <w:jc w:val="both"/>
      <w:rPr>
        <w:rFonts w:ascii="Tahoma" w:hAnsi="Tahoma" w:cs="Tahoma"/>
        <w:b/>
        <w:bCs/>
        <w:color w:val="000080"/>
        <w:sz w:val="20"/>
        <w:szCs w:val="20"/>
        <w:rtl/>
      </w:rPr>
    </w:pPr>
  </w:p>
  <w:p w:rsidR="00503834" w:rsidRDefault="00503834" w:rsidP="00503834">
    <w:pPr>
      <w:pStyle w:val="a7"/>
      <w:jc w:val="both"/>
      <w:rPr>
        <w:rFonts w:ascii="Tahoma" w:hAnsi="Tahoma" w:cs="Tahoma"/>
        <w:b/>
        <w:bCs/>
        <w:color w:val="000080"/>
        <w:sz w:val="20"/>
        <w:szCs w:val="20"/>
        <w:rtl/>
      </w:rPr>
    </w:pPr>
    <w:r>
      <w:rPr>
        <w:rFonts w:hint="cs"/>
        <w:b/>
        <w:bCs/>
        <w:sz w:val="26"/>
        <w:szCs w:val="26"/>
        <w:rtl/>
      </w:rPr>
      <w:t>לפני כבוד</w:t>
    </w:r>
    <w:r w:rsidRPr="00F91F7D">
      <w:rPr>
        <w:rFonts w:hint="cs"/>
        <w:b/>
        <w:bCs/>
        <w:sz w:val="26"/>
        <w:szCs w:val="26"/>
        <w:rtl/>
      </w:rPr>
      <w:t xml:space="preserve"> ה</w:t>
    </w:r>
    <w:sdt>
      <w:sdtPr>
        <w:rPr>
          <w:rtl/>
        </w:rPr>
        <w:alias w:val="165"/>
        <w:tag w:val="165"/>
        <w:id w:val="319463490"/>
        <w:text w:multiLine="1"/>
      </w:sdtPr>
      <w:sdtEndPr/>
      <w:sdtContent>
        <w:r>
          <w:rPr>
            <w:b/>
            <w:bCs/>
            <w:sz w:val="26"/>
            <w:szCs w:val="26"/>
            <w:rtl/>
          </w:rPr>
          <w:t>שופטת תמר סנונית פורר</w:t>
        </w:r>
      </w:sdtContent>
    </w:sdt>
  </w:p>
  <w:p w:rsidR="00503834" w:rsidRDefault="00503834" w:rsidP="00503834">
    <w:pPr>
      <w:pStyle w:val="a7"/>
      <w:jc w:val="both"/>
      <w:rPr>
        <w:rFonts w:ascii="Tahoma" w:hAnsi="Tahoma" w:cs="Tahoma"/>
        <w:b/>
        <w:bCs/>
        <w:color w:val="000080"/>
        <w:sz w:val="20"/>
        <w:szCs w:val="20"/>
        <w:rtl/>
      </w:rPr>
    </w:pPr>
  </w:p>
  <w:p w:rsidR="00503834" w:rsidRDefault="00503834" w:rsidP="0050383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A14" w:rsidRDefault="00FF1A1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B0872"/>
    <w:multiLevelType w:val="hybridMultilevel"/>
    <w:tmpl w:val="C6D42654"/>
    <w:lvl w:ilvl="0" w:tplc="D494C54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34"/>
    <w:rsid w:val="00166DD5"/>
    <w:rsid w:val="00190DD9"/>
    <w:rsid w:val="00503834"/>
    <w:rsid w:val="00656606"/>
    <w:rsid w:val="00BB4B5B"/>
    <w:rsid w:val="00F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5614EF-6D0D-407F-89E0-BF81F99B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83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383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503834"/>
    <w:pPr>
      <w:shd w:val="pct20" w:color="auto" w:fill="FFFFFF"/>
      <w:spacing w:line="480" w:lineRule="auto"/>
      <w:ind w:left="1701" w:hanging="1701"/>
      <w:jc w:val="center"/>
    </w:pPr>
    <w:rPr>
      <w:rFonts w:ascii="Times New Roman" w:eastAsia="Times New Roman" w:hAnsi="Times New Roman" w:cs="Times New Roman"/>
      <w:b/>
      <w:bCs/>
      <w:sz w:val="20"/>
      <w:szCs w:val="28"/>
      <w:u w:val="single"/>
      <w:lang w:eastAsia="he-IL"/>
    </w:rPr>
  </w:style>
  <w:style w:type="character" w:customStyle="1" w:styleId="a5">
    <w:name w:val="כותרת טקסט תו"/>
    <w:basedOn w:val="a0"/>
    <w:link w:val="a4"/>
    <w:rsid w:val="00503834"/>
    <w:rPr>
      <w:rFonts w:ascii="Times New Roman" w:eastAsia="Times New Roman" w:hAnsi="Times New Roman" w:cs="Times New Roman"/>
      <w:b/>
      <w:bCs/>
      <w:sz w:val="20"/>
      <w:szCs w:val="28"/>
      <w:u w:val="single"/>
      <w:shd w:val="pct20" w:color="auto" w:fill="FFFFFF"/>
      <w:lang w:eastAsia="he-IL"/>
    </w:rPr>
  </w:style>
  <w:style w:type="paragraph" w:styleId="a6">
    <w:name w:val="List Paragraph"/>
    <w:basedOn w:val="a"/>
    <w:uiPriority w:val="34"/>
    <w:qFormat/>
    <w:rsid w:val="00503834"/>
    <w:pPr>
      <w:ind w:left="720"/>
      <w:contextualSpacing/>
    </w:pPr>
  </w:style>
  <w:style w:type="paragraph" w:styleId="a7">
    <w:name w:val="header"/>
    <w:basedOn w:val="a"/>
    <w:link w:val="a8"/>
    <w:unhideWhenUsed/>
    <w:rsid w:val="00503834"/>
    <w:pPr>
      <w:tabs>
        <w:tab w:val="center" w:pos="4153"/>
        <w:tab w:val="right" w:pos="8306"/>
      </w:tabs>
    </w:pPr>
  </w:style>
  <w:style w:type="character" w:customStyle="1" w:styleId="a8">
    <w:name w:val="כותרת עליונה תו"/>
    <w:basedOn w:val="a0"/>
    <w:link w:val="a7"/>
    <w:rsid w:val="00503834"/>
    <w:rPr>
      <w:rFonts w:ascii="David" w:eastAsia="David" w:hAnsi="David" w:cs="David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03834"/>
    <w:pPr>
      <w:tabs>
        <w:tab w:val="center" w:pos="4153"/>
        <w:tab w:val="right" w:pos="8306"/>
      </w:tabs>
    </w:pPr>
  </w:style>
  <w:style w:type="character" w:customStyle="1" w:styleId="aa">
    <w:name w:val="כותרת תחתונה תו"/>
    <w:basedOn w:val="a0"/>
    <w:link w:val="a9"/>
    <w:uiPriority w:val="99"/>
    <w:rsid w:val="00503834"/>
    <w:rPr>
      <w:rFonts w:ascii="David" w:eastAsia="David" w:hAnsi="David" w:cs="Davi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EBD1C0779D40AD925276E24B0F34E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C3118E5-1F4C-441C-AAF9-4BFDF0770734}"/>
      </w:docPartPr>
      <w:docPartBody>
        <w:p w:rsidR="00976672" w:rsidRDefault="00761664" w:rsidP="00761664">
          <w:pPr>
            <w:pStyle w:val="DAEBD1C0779D40AD925276E24B0F34EF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A0A7CCF0BD2C44D1B3EC7CD686793E7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A91D4AB-4EE5-46A5-A3D0-F8ADC82F3380}"/>
      </w:docPartPr>
      <w:docPartBody>
        <w:p w:rsidR="00976672" w:rsidRDefault="00761664" w:rsidP="00761664">
          <w:pPr>
            <w:pStyle w:val="A0A7CCF0BD2C44D1B3EC7CD686793E7F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DF3315B538DD4A15A71A35DA8E88660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69B08D1-08DF-4680-A918-0FD980C051C5}"/>
      </w:docPartPr>
      <w:docPartBody>
        <w:p w:rsidR="00976672" w:rsidRDefault="00761664" w:rsidP="00761664">
          <w:pPr>
            <w:pStyle w:val="DF3315B538DD4A15A71A35DA8E886608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  <w:docPart>
      <w:docPartPr>
        <w:name w:val="FA60F44C40A34B0EAAD5918E74DC7C7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4EF7318-0104-4E62-BD1C-FC99DD93D97A}"/>
      </w:docPartPr>
      <w:docPartBody>
        <w:p w:rsidR="00976672" w:rsidRDefault="00761664" w:rsidP="00761664">
          <w:pPr>
            <w:pStyle w:val="FA60F44C40A34B0EAAD5918E74DC7C71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9FA25EECC1994DD6865860EC0F8F496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8046F73-DCD4-4216-8412-EC5110D4C1D0}"/>
      </w:docPartPr>
      <w:docPartBody>
        <w:p w:rsidR="00976672" w:rsidRDefault="00761664" w:rsidP="00761664">
          <w:pPr>
            <w:pStyle w:val="9FA25EECC1994DD6865860EC0F8F496E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563B738F6F124498B9AA9A482D28D45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E4A7BD84-0BD8-41CA-8090-0D54F1DB9550}"/>
      </w:docPartPr>
      <w:docPartBody>
        <w:p w:rsidR="00976672" w:rsidRDefault="00761664" w:rsidP="00761664">
          <w:pPr>
            <w:pStyle w:val="563B738F6F124498B9AA9A482D28D451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664"/>
    <w:rsid w:val="005D6AE0"/>
    <w:rsid w:val="00761664"/>
    <w:rsid w:val="009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EBD1C0779D40AD925276E24B0F34EF">
    <w:name w:val="DAEBD1C0779D40AD925276E24B0F34EF"/>
    <w:rsid w:val="00761664"/>
    <w:pPr>
      <w:bidi/>
    </w:pPr>
  </w:style>
  <w:style w:type="paragraph" w:customStyle="1" w:styleId="A0A7CCF0BD2C44D1B3EC7CD686793E7F">
    <w:name w:val="A0A7CCF0BD2C44D1B3EC7CD686793E7F"/>
    <w:rsid w:val="00761664"/>
    <w:pPr>
      <w:bidi/>
    </w:pPr>
  </w:style>
  <w:style w:type="paragraph" w:customStyle="1" w:styleId="DF3315B538DD4A15A71A35DA8E886608">
    <w:name w:val="DF3315B538DD4A15A71A35DA8E886608"/>
    <w:rsid w:val="00761664"/>
    <w:pPr>
      <w:bidi/>
    </w:pPr>
  </w:style>
  <w:style w:type="paragraph" w:customStyle="1" w:styleId="FA60F44C40A34B0EAAD5918E74DC7C71">
    <w:name w:val="FA60F44C40A34B0EAAD5918E74DC7C71"/>
    <w:rsid w:val="00761664"/>
    <w:pPr>
      <w:bidi/>
    </w:pPr>
  </w:style>
  <w:style w:type="paragraph" w:customStyle="1" w:styleId="9FA25EECC1994DD6865860EC0F8F496E">
    <w:name w:val="9FA25EECC1994DD6865860EC0F8F496E"/>
    <w:rsid w:val="00761664"/>
    <w:pPr>
      <w:bidi/>
    </w:pPr>
  </w:style>
  <w:style w:type="paragraph" w:customStyle="1" w:styleId="563B738F6F124498B9AA9A482D28D451">
    <w:name w:val="563B738F6F124498B9AA9A482D28D451"/>
    <w:rsid w:val="00761664"/>
    <w:pPr>
      <w:bidi/>
    </w:pPr>
  </w:style>
  <w:style w:type="paragraph" w:customStyle="1" w:styleId="72691E5E25B548A3A8EC99376EACF4DB">
    <w:name w:val="72691E5E25B548A3A8EC99376EACF4DB"/>
    <w:rsid w:val="00761664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1988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תמר סנונית פורר</dc:creator>
  <cp:keywords/>
  <dc:description/>
  <cp:lastModifiedBy>אסתר טטרואשילי</cp:lastModifiedBy>
  <cp:revision>2</cp:revision>
  <dcterms:created xsi:type="dcterms:W3CDTF">2024-06-09T08:46:00Z</dcterms:created>
  <dcterms:modified xsi:type="dcterms:W3CDTF">2024-06-09T08:46:00Z</dcterms:modified>
</cp:coreProperties>
</file>